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46" w:rsidRPr="00CC5246" w:rsidRDefault="00CC5246" w:rsidP="00CC5246">
      <w:pPr>
        <w:pStyle w:val="a3"/>
        <w:jc w:val="center"/>
        <w:rPr>
          <w:rFonts w:ascii="Times New Roman" w:hAnsi="Times New Roman"/>
          <w:b/>
          <w:lang w:bidi="ar"/>
        </w:rPr>
      </w:pPr>
      <w:bookmarkStart w:id="0" w:name="_GoBack"/>
      <w:bookmarkEnd w:id="0"/>
      <w:r w:rsidRPr="00CC5246">
        <w:rPr>
          <w:rFonts w:ascii="Times New Roman" w:hAnsi="Times New Roman"/>
          <w:b/>
          <w:lang w:bidi="ar"/>
        </w:rPr>
        <w:t>C 74.00</w:t>
      </w:r>
      <w:r w:rsidRPr="00CC5246">
        <w:rPr>
          <w:rFonts w:ascii="Times New Roman" w:hAnsi="Times New Roman"/>
          <w:b/>
          <w:lang w:val="uk-UA" w:bidi="ar"/>
        </w:rPr>
        <w:t xml:space="preserve"> </w:t>
      </w:r>
      <w:r>
        <w:rPr>
          <w:rFonts w:ascii="Times New Roman" w:hAnsi="Times New Roman"/>
          <w:b/>
          <w:lang w:val="uk-UA" w:bidi="ar"/>
        </w:rPr>
        <w:t>-</w:t>
      </w:r>
      <w:r w:rsidRPr="00CC5246">
        <w:rPr>
          <w:rFonts w:ascii="Times New Roman" w:hAnsi="Times New Roman"/>
          <w:b/>
          <w:lang w:bidi="ar"/>
        </w:rPr>
        <w:t xml:space="preserve"> ПОКРИТТЯ ЛІКВІДНОСТІ</w:t>
      </w:r>
      <w:r w:rsidRPr="00CC5246">
        <w:rPr>
          <w:rFonts w:ascii="Times New Roman" w:hAnsi="Times New Roman"/>
          <w:b/>
          <w:lang w:val="uk-UA" w:bidi="ar"/>
        </w:rPr>
        <w:t xml:space="preserve"> </w:t>
      </w:r>
      <w:r>
        <w:rPr>
          <w:rFonts w:ascii="Times New Roman" w:hAnsi="Times New Roman"/>
          <w:b/>
          <w:lang w:val="uk-UA" w:bidi="ar"/>
        </w:rPr>
        <w:t>-</w:t>
      </w:r>
      <w:r w:rsidRPr="00CC5246">
        <w:rPr>
          <w:rFonts w:ascii="Times New Roman" w:hAnsi="Times New Roman"/>
          <w:b/>
          <w:lang w:bidi="ar"/>
        </w:rPr>
        <w:t xml:space="preserve"> ПРИТОКИ</w:t>
      </w:r>
    </w:p>
    <w:p w:rsidR="00CC5246" w:rsidRPr="00CC5246" w:rsidRDefault="00CC5246" w:rsidP="00CC5246">
      <w:pPr>
        <w:pStyle w:val="a3"/>
        <w:jc w:val="center"/>
        <w:rPr>
          <w:rFonts w:ascii="Times New Roman" w:hAnsi="Times New Roman"/>
          <w:b/>
          <w:lang w:bidi="ar"/>
        </w:rPr>
      </w:pPr>
      <w:proofErr w:type="spellStart"/>
      <w:r w:rsidRPr="00CC5246">
        <w:rPr>
          <w:rFonts w:ascii="Times New Roman" w:hAnsi="Times New Roman"/>
          <w:b/>
          <w:lang w:bidi="ar"/>
        </w:rPr>
        <w:t>Валюта</w:t>
      </w:r>
      <w:proofErr w:type="spellEnd"/>
    </w:p>
    <w:tbl>
      <w:tblPr>
        <w:tblW w:w="22587" w:type="dxa"/>
        <w:tblCellSpacing w:w="0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73"/>
        <w:gridCol w:w="1054"/>
        <w:gridCol w:w="2791"/>
        <w:gridCol w:w="1194"/>
        <w:gridCol w:w="1198"/>
        <w:gridCol w:w="1474"/>
        <w:gridCol w:w="1219"/>
        <w:gridCol w:w="1134"/>
        <w:gridCol w:w="1148"/>
        <w:gridCol w:w="1266"/>
        <w:gridCol w:w="1133"/>
        <w:gridCol w:w="971"/>
        <w:gridCol w:w="1152"/>
        <w:gridCol w:w="971"/>
        <w:gridCol w:w="971"/>
        <w:gridCol w:w="1148"/>
        <w:gridCol w:w="971"/>
        <w:gridCol w:w="971"/>
        <w:gridCol w:w="1148"/>
      </w:tblGrid>
      <w:tr w:rsidR="00CC5246" w:rsidTr="00CC5246">
        <w:trPr>
          <w:tblCellSpacing w:w="0" w:type="dxa"/>
        </w:trPr>
        <w:tc>
          <w:tcPr>
            <w:tcW w:w="4518" w:type="dxa"/>
            <w:gridSpan w:val="3"/>
            <w:vMerge w:val="restart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3866" w:type="dxa"/>
            <w:gridSpan w:val="3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Сума</w:t>
            </w:r>
            <w:proofErr w:type="spellEnd"/>
          </w:p>
        </w:tc>
        <w:tc>
          <w:tcPr>
            <w:tcW w:w="3501" w:type="dxa"/>
            <w:gridSpan w:val="3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Ринкова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вартість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отриманого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забезпечення</w:t>
            </w:r>
            <w:proofErr w:type="spellEnd"/>
          </w:p>
        </w:tc>
        <w:tc>
          <w:tcPr>
            <w:tcW w:w="1263" w:type="dxa"/>
            <w:vMerge w:val="restart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Стандартна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вага</w:t>
            </w:r>
            <w:proofErr w:type="spellEnd"/>
          </w:p>
        </w:tc>
        <w:tc>
          <w:tcPr>
            <w:tcW w:w="3256" w:type="dxa"/>
            <w:gridSpan w:val="3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Застосовна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вага</w:t>
            </w:r>
            <w:proofErr w:type="spellEnd"/>
          </w:p>
        </w:tc>
        <w:tc>
          <w:tcPr>
            <w:tcW w:w="3090" w:type="dxa"/>
            <w:gridSpan w:val="3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Вартість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отриманого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згідно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із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статтею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9</w:t>
            </w:r>
          </w:p>
        </w:tc>
        <w:tc>
          <w:tcPr>
            <w:tcW w:w="3090" w:type="dxa"/>
            <w:gridSpan w:val="3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Притік</w:t>
            </w:r>
            <w:proofErr w:type="spellEnd"/>
          </w:p>
        </w:tc>
      </w:tr>
      <w:tr w:rsidR="00CC5246" w:rsidTr="00CC5246">
        <w:trPr>
          <w:tblCellSpacing w:w="0" w:type="dxa"/>
        </w:trPr>
        <w:tc>
          <w:tcPr>
            <w:tcW w:w="4518" w:type="dxa"/>
            <w:gridSpan w:val="3"/>
            <w:vMerge/>
          </w:tcPr>
          <w:p w:rsidR="00CC5246" w:rsidRPr="00CC5246" w:rsidRDefault="00CC5246" w:rsidP="00CC5246">
            <w:pPr>
              <w:jc w:val="center"/>
              <w:rPr>
                <w:rFonts w:ascii="Times New Roman" w:hAnsi="Times New Roman"/>
                <w:b/>
                <w:sz w:val="22"/>
                <w:lang w:bidi="ar"/>
              </w:rPr>
            </w:pP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bidi="ar"/>
              </w:rPr>
              <w:t>-</w:t>
            </w: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75%</w:t>
            </w: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bidi="ar"/>
              </w:rPr>
              <w:t>-</w:t>
            </w: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90%</w:t>
            </w: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не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застосовна</w:t>
            </w:r>
            <w:proofErr w:type="spellEnd"/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bidi="ar"/>
              </w:rPr>
              <w:t>-</w:t>
            </w: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75%</w:t>
            </w: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bidi="ar"/>
              </w:rPr>
              <w:t>-</w:t>
            </w: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90%</w:t>
            </w: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не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застосовна</w:t>
            </w:r>
            <w:proofErr w:type="spellEnd"/>
          </w:p>
        </w:tc>
        <w:tc>
          <w:tcPr>
            <w:tcW w:w="1263" w:type="dxa"/>
            <w:vMerge/>
          </w:tcPr>
          <w:p w:rsidR="00CC5246" w:rsidRPr="00CC5246" w:rsidRDefault="00CC5246" w:rsidP="00CC5246">
            <w:pPr>
              <w:jc w:val="center"/>
              <w:rPr>
                <w:rFonts w:ascii="Times New Roman" w:hAnsi="Times New Roman"/>
                <w:b/>
                <w:sz w:val="22"/>
                <w:lang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bidi="ar"/>
              </w:rPr>
              <w:t>-</w:t>
            </w: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75%</w:t>
            </w: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bidi="ar"/>
              </w:rPr>
              <w:t>-</w:t>
            </w: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90%</w:t>
            </w: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не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застосовна</w:t>
            </w:r>
            <w:proofErr w:type="spellEnd"/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bidi="ar"/>
              </w:rPr>
              <w:t>-</w:t>
            </w: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75%</w:t>
            </w: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bidi="ar"/>
              </w:rPr>
              <w:t>-</w:t>
            </w: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90%</w:t>
            </w: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не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застосовна</w:t>
            </w:r>
            <w:proofErr w:type="spellEnd"/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bidi="ar"/>
              </w:rPr>
              <w:t>-</w:t>
            </w: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75%</w:t>
            </w: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bidi="ar"/>
              </w:rPr>
              <w:t>-</w:t>
            </w: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90%</w:t>
            </w: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Верхня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межа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не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застосовна</w:t>
            </w:r>
            <w:proofErr w:type="spellEnd"/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Рядок</w:t>
            </w:r>
            <w:proofErr w:type="spellEnd"/>
          </w:p>
        </w:tc>
        <w:tc>
          <w:tcPr>
            <w:tcW w:w="105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Ід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.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номер</w:t>
            </w:r>
            <w:proofErr w:type="spellEnd"/>
          </w:p>
        </w:tc>
        <w:tc>
          <w:tcPr>
            <w:tcW w:w="279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Найменування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010</w:t>
            </w: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020</w:t>
            </w: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030</w:t>
            </w: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040</w:t>
            </w: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050</w:t>
            </w: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060</w:t>
            </w: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070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080</w:t>
            </w: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090</w:t>
            </w: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100</w:t>
            </w: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110</w:t>
            </w: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120</w:t>
            </w: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130</w:t>
            </w: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140</w:t>
            </w: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150</w:t>
            </w: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160</w:t>
            </w: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010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1 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СУКУПНІ ПРИТОКИ 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020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1.1 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від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незабезпечених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операцій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/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депозитів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030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нефінансовими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клієнтами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(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крім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центральних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банків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>)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040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1.1.1.1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нефінансовими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клієнтами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(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крім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центральних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банків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)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погашенню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основної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суми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050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1.1.1.2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інші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нефінансовими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клієнтами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(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крім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центральних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банків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>)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060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1.1.1.2.1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роздрібними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клієнтами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0,50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070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1.1.1.2.2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нефінансовими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корпоративними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суб’єктами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0,50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080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1.1.1.2.3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суверенними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суб’єктами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багатосторонніми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банками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розвитку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суб’єктами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публічного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сектора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0,50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090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1.1.1.2.4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іншими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юридичними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особами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0,50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100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1.1.2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центральними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банками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фінансовими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клієнтами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110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1.1.2.1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lastRenderedPageBreak/>
              <w:t>фінансовими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клієнтами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класифікують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депозити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120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1.1.2.1.1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фінансовими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клієнтами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класифікують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депозити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якщо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кредитна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установа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здатна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встановити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відповідний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симетричний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коефіцієнт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притоку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130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1.1.2.1.2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фінансовими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клієнтами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класифікують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депозити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якщо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кредитна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установа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здатна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встановити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відповідний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симетричний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коефіцієнт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притоку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0,05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140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1.1.2.2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центральними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банками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фінансовими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клієнтами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класифікують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депозити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150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1.1.2.2.1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центральними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банками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160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1.1.2.2.2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фінансовими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клієнтами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170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1.1.3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притоки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відтокам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згідно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із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зобов’язаннями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щодо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видачі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розвиткових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позик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згаданих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статті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31(9)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Делегованого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регламенту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(ЄС) 2015/61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180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1.1.4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рахунок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торговельних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фінансових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190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1.1.5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рахунок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цінних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паперів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термін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погашення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настає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протягом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30</w:t>
            </w:r>
            <w:r w:rsidRPr="00CC5246">
              <w:rPr>
                <w:rFonts w:ascii="Times New Roman" w:hAnsi="Times New Roman"/>
                <w:sz w:val="22"/>
                <w:lang w:val="uk-UA"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днів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201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1.1.6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позика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з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невизначеною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датою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припинення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договору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0,20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210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1.1.7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рахунок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позицій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в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основних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індексних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інструментах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власного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капіталу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умови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lastRenderedPageBreak/>
              <w:t>відсутності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подвійного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обліку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ліквідних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активів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230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1.1.8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притоки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вивільнення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залишків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утримуваних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відокремлених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рахункам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згідно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з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регуляторними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для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захисту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торговельних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активів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клієнта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240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1.1.9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притоки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деривативів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250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1.1.10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притоки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невибраних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кредитних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інструментів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або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інструментів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ліквідності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наданих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членами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групи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або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в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рамках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схеми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інституційного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захисту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якщо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компетентні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органи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надали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дозвіл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застосування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вищого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коефіцієнта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притоків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260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1.1.11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інші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притоки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263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1.2 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від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забезпечених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операцій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кредитування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та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забезпечених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операцій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на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умовах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ринку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капіталу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265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Контрагент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є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центральним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банком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267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критеріям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для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його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класифікації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ліквідного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активу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269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1,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крім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надзвичайно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високоякісних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облігацій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з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покриттям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271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1.2.1.1.1.1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отримане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273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1.2.1.1.2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1,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складають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надзвичайно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високоякісні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облігації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з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покриттям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0,07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275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1.2.1.1.2.1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отримане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277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1.2.1.1.3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2A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0,15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279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1.2.1.1.3.1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отримане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281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1.2.1.1.4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вигляді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активами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цінних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паперів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2B (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житловою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нерухомістю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або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транспортними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засобами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>)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0,25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lastRenderedPageBreak/>
              <w:t>283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1.2.1.1.4.1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отримане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285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1.2.1.1.5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вигляді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високоякісних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облігацій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з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покриттям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2B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0,30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287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1.2.1.1.5.1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отримане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289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1.2.1.1.6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вигляді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активами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цінних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паперів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2B (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комерційним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або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приватним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майном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>)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0,35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291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1.2.1.1.6.1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отримане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293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1.2.1.1.7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2B,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охоплене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в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секціях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1.2.1.1.4, 1.2.1.1.5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або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1.2.1.1.6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0,50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295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1.2.1.1.7.1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отримане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297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1.2.1.2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використовують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для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покриття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коротких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позицій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299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1.2.1.3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критеріям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для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його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класифікації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ліквідного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активу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301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1.2.1.3.1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є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неліквідним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власним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капіталом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303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1.2.1.3.2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усе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інше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неліквідне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305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Контрагент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є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нецентральним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банком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307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критеріям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для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його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класифікації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ліквідного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активу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309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1,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крім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надзвичайно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високоякісних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облігацій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з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покриттям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311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1.2.2.1.1.1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отримане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313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1.2.2.1.2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1,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складають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надзвичайно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високоякісні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облігації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з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покриттям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0,07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lastRenderedPageBreak/>
              <w:t>315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1.2.2.1.2.1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отримане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317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1.2.2.1.3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2A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0,15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319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1.2.2.1.3.1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отримане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321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1.2.2.1.4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вигляді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активами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цінних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паперів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2B (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житловою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нерухомістю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або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транспортними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засобами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>)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0,25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323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1.2.2.1.4.1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отримане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325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1.2.2.1.5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вигляді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високоякісних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облігацій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з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покриттям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2B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0,30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327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1.2.2.1.5.1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отримане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329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1.2.2.1.6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вигляді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активами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цінних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паперів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2B (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комерційним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або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приватним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майном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>)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0,35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331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1.2.2.1.6.1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отримане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333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1.2.2.1.7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2B,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охоплене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в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секціях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1.2.2.1.4, 1.2.2.1.5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або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1.2.2.1.6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0,50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335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1.2.2.1.7.1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отримане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операційним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вимогам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337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1.2.2.2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використовують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для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покриття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коротких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позицій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339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1.2.2.3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відповідає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критеріям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для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його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класифікації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ліквідного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активу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341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1.2.2.3.1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маржинальні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позики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: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неліквідне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0,50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343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1.2.2.3.2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є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неліквідним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власним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капіталом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345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1.2.2.3.3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усе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інше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неліквідне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забезпечення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1,00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410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1.3 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Сукупні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від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свопів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забезпечення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lastRenderedPageBreak/>
              <w:t>420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1.4 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(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Різниця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між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сукупними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зваженими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притоками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та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сукупними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зваженими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відтоками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яка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виникає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в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результаті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операцій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у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третіх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країнах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якщо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існують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обмеження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щодо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передачі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або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операцій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виражених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у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неконвертованих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валютах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) 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430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1.5 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(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Надлишкові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від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пов’язаної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спеціалізованої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кредитної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установи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) 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13151" w:type="dxa"/>
            <w:gridSpan w:val="10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МЕМОРІАЛЬНІ ПОЗИЦІЇ</w:t>
            </w: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450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2 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Валютні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460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3 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Притоки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до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групи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або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інституційної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схеми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захисту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470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3.1 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нефінансовими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клієнтами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(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крім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центральних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банків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>)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480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3.2 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фінансовими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клієнтами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490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3.3 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операції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500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3.4 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Грошові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кошти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підлягають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виплаті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рахунок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цінних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паперів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термін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погашення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якими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настає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протягом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30</w:t>
            </w:r>
            <w:r w:rsidRPr="00CC5246">
              <w:rPr>
                <w:rFonts w:ascii="Times New Roman" w:hAnsi="Times New Roman"/>
                <w:sz w:val="22"/>
                <w:lang w:val="uk-UA"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днів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510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3.5 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Будь-які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інші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притоки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до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групи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або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інституційної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схеми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захисту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4 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b/>
                <w:sz w:val="22"/>
                <w:lang w:bidi="ar"/>
              </w:rPr>
            </w:pP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Забезпечене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кредитування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,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звільнене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від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дії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статті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val="uk-UA" w:bidi="ar"/>
              </w:rPr>
              <w:t xml:space="preserve"> </w:t>
            </w:r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17(2) </w:t>
            </w:r>
            <w:proofErr w:type="spellStart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>та</w:t>
            </w:r>
            <w:proofErr w:type="spellEnd"/>
            <w:r w:rsidRPr="00CC5246">
              <w:rPr>
                <w:rFonts w:ascii="Times New Roman" w:hAnsi="Times New Roman"/>
                <w:b/>
                <w:sz w:val="22"/>
                <w:lang w:bidi="ar"/>
              </w:rPr>
              <w:t xml:space="preserve"> (3) 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530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4.1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: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активами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1,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крім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надзвичайно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високоякісних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облігацій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із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покриттям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540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4.2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: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надзвичайно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високоякісними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облігаціями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з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покриттям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1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550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4.3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: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активами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2A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560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4.4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: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активами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рівня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2B</w:t>
            </w:r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  <w:tr w:rsidR="00CC5246" w:rsidTr="00CC5246">
        <w:trPr>
          <w:tblCellSpacing w:w="0" w:type="dxa"/>
        </w:trPr>
        <w:tc>
          <w:tcPr>
            <w:tcW w:w="67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570</w:t>
            </w:r>
          </w:p>
        </w:tc>
        <w:tc>
          <w:tcPr>
            <w:tcW w:w="1054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>4.5</w:t>
            </w:r>
          </w:p>
        </w:tc>
        <w:tc>
          <w:tcPr>
            <w:tcW w:w="2791" w:type="dxa"/>
          </w:tcPr>
          <w:p w:rsidR="00CC5246" w:rsidRPr="00CC5246" w:rsidRDefault="00CC5246" w:rsidP="0000278E">
            <w:pPr>
              <w:pStyle w:val="a3"/>
              <w:rPr>
                <w:rFonts w:ascii="Times New Roman" w:hAnsi="Times New Roman"/>
                <w:sz w:val="22"/>
                <w:lang w:bidi="ar"/>
              </w:rPr>
            </w:pPr>
            <w:r w:rsidRPr="00CC5246">
              <w:rPr>
                <w:rFonts w:ascii="Times New Roman" w:hAnsi="Times New Roman"/>
                <w:sz w:val="22"/>
                <w:lang w:bidi="ar"/>
              </w:rPr>
              <w:t xml:space="preserve">у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тому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числі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: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забезпечені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неліквідні</w:t>
            </w:r>
            <w:proofErr w:type="spellEnd"/>
            <w:r w:rsidRPr="00CC5246">
              <w:rPr>
                <w:rFonts w:ascii="Times New Roman" w:hAnsi="Times New Roman"/>
                <w:sz w:val="22"/>
                <w:lang w:bidi="ar"/>
              </w:rPr>
              <w:t xml:space="preserve"> </w:t>
            </w:r>
            <w:proofErr w:type="spellStart"/>
            <w:r w:rsidRPr="00CC5246">
              <w:rPr>
                <w:rFonts w:ascii="Times New Roman" w:hAnsi="Times New Roman"/>
                <w:sz w:val="22"/>
                <w:lang w:bidi="ar"/>
              </w:rPr>
              <w:t>активи</w:t>
            </w:r>
            <w:proofErr w:type="spellEnd"/>
          </w:p>
        </w:tc>
        <w:tc>
          <w:tcPr>
            <w:tcW w:w="119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9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47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19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4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26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33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52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971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  <w:tc>
          <w:tcPr>
            <w:tcW w:w="1148" w:type="dxa"/>
          </w:tcPr>
          <w:p w:rsidR="00CC5246" w:rsidRPr="00CC5246" w:rsidRDefault="00CC5246" w:rsidP="00CC5246">
            <w:pPr>
              <w:pStyle w:val="a3"/>
              <w:jc w:val="center"/>
              <w:rPr>
                <w:rFonts w:ascii="Times New Roman" w:hAnsi="Times New Roman"/>
                <w:sz w:val="22"/>
                <w:lang w:val="uk-UA" w:bidi="ar"/>
              </w:rPr>
            </w:pPr>
          </w:p>
        </w:tc>
      </w:tr>
    </w:tbl>
    <w:p w:rsidR="00CB3AED" w:rsidRDefault="00CB3AED" w:rsidP="00CC5246"/>
    <w:sectPr w:rsidR="00CB3AED" w:rsidSect="00CC5246">
      <w:pgSz w:w="23811" w:h="16838" w:orient="landscape" w:code="8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46"/>
    <w:rsid w:val="00CB3AED"/>
    <w:rsid w:val="00CB4128"/>
    <w:rsid w:val="00CC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7AD4"/>
  <w15:chartTrackingRefBased/>
  <w15:docId w15:val="{9DDF2C63-34E4-4F57-B16C-C77534C1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28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rsid w:val="00CB4128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CC5246"/>
    <w:pPr>
      <w:spacing w:before="100" w:beforeAutospacing="1" w:after="100" w:afterAutospacing="1"/>
      <w:outlineLvl w:val="4"/>
    </w:pPr>
    <w:rPr>
      <w:rFonts w:ascii="SimSun" w:eastAsia="SimSun" w:hAnsi="SimSun"/>
      <w:b/>
      <w:i/>
      <w:sz w:val="20"/>
      <w:lang w:val="en-US" w:eastAsia="zh-CN"/>
    </w:rPr>
  </w:style>
  <w:style w:type="paragraph" w:styleId="6">
    <w:name w:val="heading 6"/>
    <w:basedOn w:val="a"/>
    <w:next w:val="a"/>
    <w:link w:val="60"/>
    <w:uiPriority w:val="9"/>
    <w:qFormat/>
    <w:rsid w:val="00CC5246"/>
    <w:pPr>
      <w:spacing w:before="100" w:beforeAutospacing="1" w:after="100" w:afterAutospacing="1"/>
      <w:outlineLvl w:val="5"/>
    </w:pPr>
    <w:rPr>
      <w:rFonts w:ascii="SimSun" w:eastAsia="SimSun" w:hAnsi="SimSun"/>
      <w:b/>
      <w:sz w:val="14"/>
      <w:szCs w:val="1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uiPriority w:val="9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4128"/>
    <w:rPr>
      <w:rFonts w:ascii="Antiqua" w:hAnsi="Antiqua"/>
      <w:sz w:val="26"/>
      <w:lang w:eastAsia="ru-RU"/>
    </w:rPr>
  </w:style>
  <w:style w:type="paragraph" w:styleId="a3">
    <w:name w:val="Normal (Web)"/>
    <w:basedOn w:val="a"/>
    <w:uiPriority w:val="99"/>
    <w:rsid w:val="00CC5246"/>
    <w:pPr>
      <w:spacing w:before="100" w:beforeAutospacing="1" w:after="100" w:afterAutospacing="1"/>
    </w:pPr>
    <w:rPr>
      <w:rFonts w:ascii="Calibri" w:eastAsia="SimSun" w:hAnsi="Calibri"/>
      <w:sz w:val="24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uiPriority w:val="9"/>
    <w:rsid w:val="00CC5246"/>
    <w:rPr>
      <w:rFonts w:ascii="SimSun" w:eastAsia="SimSun" w:hAnsi="SimSun"/>
      <w:b/>
      <w:i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rsid w:val="00CC5246"/>
    <w:rPr>
      <w:rFonts w:ascii="SimSun" w:eastAsia="SimSun" w:hAnsi="SimSun"/>
      <w:b/>
      <w:sz w:val="14"/>
      <w:szCs w:val="14"/>
      <w:lang w:val="en-US" w:eastAsia="zh-CN"/>
    </w:rPr>
  </w:style>
  <w:style w:type="character" w:styleId="a4">
    <w:name w:val="Hyperlink"/>
    <w:basedOn w:val="a0"/>
    <w:uiPriority w:val="99"/>
    <w:rsid w:val="00CC5246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C52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/>
      <w:sz w:val="24"/>
      <w:szCs w:val="24"/>
      <w:lang w:val="en-US" w:eastAsia="zh-CN"/>
    </w:rPr>
  </w:style>
  <w:style w:type="character" w:customStyle="1" w:styleId="HTML0">
    <w:name w:val="Стандартний HTML Знак"/>
    <w:basedOn w:val="a0"/>
    <w:link w:val="HTML"/>
    <w:uiPriority w:val="99"/>
    <w:rsid w:val="00CC5246"/>
    <w:rPr>
      <w:rFonts w:ascii="SimSun" w:eastAsia="SimSun" w:hAnsi="SimSun"/>
      <w:sz w:val="24"/>
      <w:szCs w:val="24"/>
      <w:lang w:val="en-US" w:eastAsia="zh-CN"/>
    </w:rPr>
  </w:style>
  <w:style w:type="paragraph" w:customStyle="1" w:styleId="CM1">
    <w:name w:val="CM1"/>
    <w:basedOn w:val="a"/>
    <w:next w:val="a"/>
    <w:uiPriority w:val="99"/>
    <w:rsid w:val="00CC5246"/>
    <w:pPr>
      <w:autoSpaceDE w:val="0"/>
      <w:autoSpaceDN w:val="0"/>
      <w:adjustRightInd w:val="0"/>
    </w:pPr>
    <w:rPr>
      <w:rFonts w:ascii="Times New Roman" w:eastAsia="SimSun" w:hAnsi="Times New Roman"/>
      <w:sz w:val="24"/>
      <w:szCs w:val="24"/>
      <w:lang w:eastAsia="uk-UA"/>
    </w:rPr>
  </w:style>
  <w:style w:type="paragraph" w:customStyle="1" w:styleId="CM3">
    <w:name w:val="CM3"/>
    <w:basedOn w:val="a"/>
    <w:next w:val="a"/>
    <w:uiPriority w:val="99"/>
    <w:rsid w:val="00CC5246"/>
    <w:pPr>
      <w:autoSpaceDE w:val="0"/>
      <w:autoSpaceDN w:val="0"/>
      <w:adjustRightInd w:val="0"/>
    </w:pPr>
    <w:rPr>
      <w:rFonts w:ascii="Times New Roman" w:eastAsia="SimSu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6278</Words>
  <Characters>3580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RePack by Diakov</cp:lastModifiedBy>
  <cp:revision>1</cp:revision>
  <dcterms:created xsi:type="dcterms:W3CDTF">2023-11-13T12:04:00Z</dcterms:created>
  <dcterms:modified xsi:type="dcterms:W3CDTF">2023-11-13T12:14:00Z</dcterms:modified>
</cp:coreProperties>
</file>