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8080" w:hanging="425"/>
        <w:jc w:val="center"/>
        <w:rPr>
          <w:rFonts w:eastAsia="Calibri"/>
          <w:sz w:val="24"/>
          <w:lang w:eastAsia="uk-UA"/>
        </w:rPr>
      </w:pPr>
      <w:bookmarkStart w:id="0" w:name="_GoBack"/>
      <w:bookmarkEnd w:id="0"/>
      <w:r>
        <w:rPr>
          <w:sz w:val="24"/>
        </w:rPr>
        <w:t>Додаток 2</w:t>
      </w:r>
      <w:r>
        <w:rPr>
          <w:rFonts w:eastAsia="Calibri"/>
          <w:sz w:val="24"/>
          <w:lang w:eastAsia="uk-UA"/>
        </w:rPr>
        <w:t xml:space="preserve"> </w:t>
      </w:r>
    </w:p>
    <w:p>
      <w:pPr>
        <w:autoSpaceDE w:val="0"/>
        <w:autoSpaceDN w:val="0"/>
        <w:adjustRightInd w:val="0"/>
        <w:ind w:left="8080" w:hanging="425"/>
        <w:jc w:val="center"/>
        <w:rPr>
          <w:rFonts w:eastAsia="Calibri"/>
          <w:sz w:val="24"/>
          <w:lang w:eastAsia="uk-UA"/>
        </w:rPr>
      </w:pPr>
      <w:r>
        <w:rPr>
          <w:rFonts w:eastAsia="Calibri"/>
          <w:sz w:val="24"/>
          <w:lang w:eastAsia="uk-UA"/>
        </w:rPr>
        <w:t>до рішення Ради національної безпеки і оборони України</w:t>
      </w:r>
    </w:p>
    <w:p>
      <w:pPr>
        <w:autoSpaceDE w:val="0"/>
        <w:autoSpaceDN w:val="0"/>
        <w:adjustRightInd w:val="0"/>
        <w:ind w:left="7797"/>
        <w:jc w:val="center"/>
        <w:rPr>
          <w:rFonts w:eastAsia="Times New Roman"/>
          <w:bCs/>
          <w:sz w:val="24"/>
          <w:lang w:eastAsia="ru-RU"/>
        </w:rPr>
      </w:pPr>
      <w:r>
        <w:rPr>
          <w:rFonts w:eastAsia="Calibri"/>
          <w:sz w:val="24"/>
          <w:lang w:eastAsia="uk-UA"/>
        </w:rPr>
        <w:t xml:space="preserve">від 28 січня 2023 року "Про застосування та внесення змін до персональних спеціальних економічних та інших обмежувальних заходів (санкцій)", </w:t>
      </w:r>
      <w:r>
        <w:rPr>
          <w:rFonts w:eastAsia="Times New Roman"/>
          <w:bCs/>
          <w:sz w:val="24"/>
          <w:lang w:eastAsia="ru-RU"/>
        </w:rPr>
        <w:t>введеного в дію Указом Президента України</w:t>
      </w:r>
    </w:p>
    <w:p>
      <w:pPr>
        <w:autoSpaceDE w:val="0"/>
        <w:autoSpaceDN w:val="0"/>
        <w:adjustRightInd w:val="0"/>
        <w:ind w:left="7797"/>
        <w:jc w:val="center"/>
        <w:rPr>
          <w:rFonts w:eastAsia="Times New Roman"/>
          <w:sz w:val="24"/>
          <w:lang w:eastAsia="uk-UA"/>
        </w:rPr>
      </w:pPr>
      <w:r>
        <w:rPr>
          <w:rFonts w:eastAsia="Times New Roman"/>
          <w:bCs/>
          <w:sz w:val="24"/>
          <w:lang w:eastAsia="ru-RU"/>
        </w:rPr>
        <w:t>від 28 січня 2023 року № 50/2023</w:t>
      </w:r>
    </w:p>
    <w:p>
      <w:pPr>
        <w:autoSpaceDE w:val="0"/>
        <w:autoSpaceDN w:val="0"/>
        <w:adjustRightInd w:val="0"/>
        <w:ind w:left="8080" w:hanging="425"/>
        <w:jc w:val="center"/>
        <w:rPr>
          <w:rFonts w:eastAsia="Calibri"/>
          <w:sz w:val="24"/>
          <w:lang w:eastAsia="uk-UA"/>
        </w:rPr>
      </w:pPr>
    </w:p>
    <w:p>
      <w:pPr>
        <w:ind w:right="-598"/>
        <w:jc w:val="right"/>
        <w:rPr>
          <w:b/>
          <w:sz w:val="16"/>
        </w:rPr>
      </w:pPr>
    </w:p>
    <w:p>
      <w:pPr>
        <w:jc w:val="center"/>
        <w:rPr>
          <w:sz w:val="24"/>
        </w:rPr>
      </w:pPr>
    </w:p>
    <w:p>
      <w:pPr>
        <w:jc w:val="center"/>
        <w:rPr>
          <w:sz w:val="24"/>
        </w:rPr>
      </w:pPr>
    </w:p>
    <w:p>
      <w:pPr>
        <w:jc w:val="center"/>
        <w:rPr>
          <w:sz w:val="24"/>
        </w:rPr>
      </w:pPr>
      <w:r>
        <w:rPr>
          <w:sz w:val="24"/>
        </w:rPr>
        <w:t>ІНДИВІДУАЛЬНІ ПІДПРИЄМЦІ,</w:t>
      </w:r>
    </w:p>
    <w:p>
      <w:pPr>
        <w:jc w:val="center"/>
        <w:rPr>
          <w:sz w:val="24"/>
        </w:rPr>
      </w:pPr>
      <w:r>
        <w:rPr>
          <w:sz w:val="24"/>
        </w:rPr>
        <w:t>до яких застосовуються персональні спеціальні економічні та інші обмежувальні заходи (санкції)</w:t>
      </w:r>
    </w:p>
    <w:p>
      <w:pPr>
        <w:spacing w:after="120"/>
        <w:jc w:val="center"/>
        <w:rPr>
          <w:b/>
          <w:sz w:val="24"/>
        </w:rPr>
      </w:pPr>
    </w:p>
    <w:tbl>
      <w:tblPr>
        <w:tblStyle w:val="3"/>
        <w:tblW w:w="14709" w:type="dxa"/>
        <w:tblInd w:w="0" w:type="dxa"/>
        <w:shd w:val="clear" w:color="auto" w:fill="FFFFFF" w:themeFill="background1"/>
        <w:tblLayout w:type="fixed"/>
        <w:tblCellMar>
          <w:top w:w="0" w:type="dxa"/>
          <w:left w:w="108" w:type="dxa"/>
          <w:bottom w:w="0" w:type="dxa"/>
          <w:right w:w="108" w:type="dxa"/>
        </w:tblCellMar>
      </w:tblPr>
      <w:tblGrid>
        <w:gridCol w:w="709"/>
        <w:gridCol w:w="4678"/>
        <w:gridCol w:w="7337"/>
        <w:gridCol w:w="1985"/>
      </w:tblGrid>
      <w:tr>
        <w:tblPrEx>
          <w:shd w:val="clear" w:color="auto" w:fill="FFFFFF" w:themeFill="background1"/>
          <w:tblCellMar>
            <w:top w:w="0" w:type="dxa"/>
            <w:left w:w="108" w:type="dxa"/>
            <w:bottom w:w="0" w:type="dxa"/>
            <w:right w:w="108" w:type="dxa"/>
          </w:tblCellMar>
        </w:tblPrEx>
        <w:trPr>
          <w:trHeight w:val="889" w:hRule="atLeast"/>
          <w:tblHeader/>
        </w:trPr>
        <w:tc>
          <w:tcPr>
            <w:tcW w:w="709" w:type="dxa"/>
            <w:tcBorders>
              <w:top w:val="single" w:color="auto" w:sz="4" w:space="0"/>
              <w:bottom w:val="single" w:color="auto" w:sz="4" w:space="0"/>
              <w:right w:val="single" w:color="auto" w:sz="4" w:space="0"/>
            </w:tcBorders>
            <w:shd w:val="clear" w:color="auto" w:fill="FFFFFF" w:themeFill="background1"/>
            <w:noWrap/>
            <w:vAlign w:val="center"/>
          </w:tcPr>
          <w:p>
            <w:pPr>
              <w:jc w:val="center"/>
              <w:rPr>
                <w:rFonts w:eastAsia="Times New Roman"/>
                <w:bCs/>
                <w:color w:val="auto"/>
                <w:sz w:val="24"/>
                <w:lang w:eastAsia="ru-RU"/>
              </w:rPr>
            </w:pPr>
            <w:r>
              <w:rPr>
                <w:rFonts w:eastAsia="Times New Roman"/>
                <w:bCs/>
                <w:color w:val="auto"/>
                <w:sz w:val="24"/>
                <w:lang w:eastAsia="ru-RU"/>
              </w:rPr>
              <w:t>№ з/п</w:t>
            </w:r>
          </w:p>
        </w:tc>
        <w:tc>
          <w:tcPr>
            <w:tcW w:w="46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eastAsia="Times New Roman"/>
                <w:color w:val="auto"/>
                <w:sz w:val="24"/>
                <w:lang w:eastAsia="ru-RU"/>
              </w:rPr>
            </w:pPr>
            <w:r>
              <w:rPr>
                <w:rFonts w:eastAsia="Times New Roman"/>
                <w:bCs/>
                <w:color w:val="auto"/>
                <w:sz w:val="24"/>
                <w:lang w:eastAsia="ru-RU"/>
              </w:rPr>
              <w:t>Ідентифікаційні дані (повне найменування та реквізити суб'єкта)</w:t>
            </w:r>
          </w:p>
        </w:tc>
        <w:tc>
          <w:tcPr>
            <w:tcW w:w="73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eastAsia="Times New Roman"/>
                <w:color w:val="auto"/>
                <w:sz w:val="24"/>
                <w:lang w:eastAsia="ru-RU"/>
              </w:rPr>
            </w:pPr>
            <w:r>
              <w:rPr>
                <w:rFonts w:eastAsia="Times New Roman"/>
                <w:bCs/>
                <w:color w:val="auto"/>
                <w:sz w:val="24"/>
                <w:lang w:eastAsia="ru-RU"/>
              </w:rPr>
              <w:t>Вид обмежувального заходу</w:t>
            </w:r>
            <w:r>
              <w:rPr>
                <w:rFonts w:eastAsia="Times New Roman"/>
                <w:bCs/>
                <w:color w:val="auto"/>
                <w:sz w:val="24"/>
                <w:lang w:eastAsia="ru-RU"/>
              </w:rPr>
              <w:br w:type="textWrapping"/>
            </w:r>
            <w:r>
              <w:rPr>
                <w:rFonts w:eastAsia="Times New Roman"/>
                <w:bCs/>
                <w:color w:val="auto"/>
                <w:sz w:val="24"/>
                <w:lang w:eastAsia="ru-RU"/>
              </w:rPr>
              <w:t>(відповідно до Закону України "Про санкції")</w:t>
            </w:r>
          </w:p>
        </w:tc>
        <w:tc>
          <w:tcPr>
            <w:tcW w:w="1985" w:type="dxa"/>
            <w:tcBorders>
              <w:top w:val="single" w:color="auto" w:sz="4" w:space="0"/>
              <w:left w:val="single" w:color="auto" w:sz="4" w:space="0"/>
              <w:bottom w:val="single" w:color="auto" w:sz="4" w:space="0"/>
            </w:tcBorders>
            <w:shd w:val="clear" w:color="auto" w:fill="FFFFFF" w:themeFill="background1"/>
            <w:vAlign w:val="center"/>
          </w:tcPr>
          <w:p>
            <w:pPr>
              <w:jc w:val="center"/>
              <w:rPr>
                <w:rFonts w:eastAsia="Times New Roman"/>
                <w:bCs/>
                <w:color w:val="auto"/>
                <w:sz w:val="24"/>
                <w:lang w:eastAsia="ru-RU"/>
              </w:rPr>
            </w:pPr>
            <w:r>
              <w:rPr>
                <w:rFonts w:eastAsia="Times New Roman"/>
                <w:bCs/>
                <w:color w:val="auto"/>
                <w:sz w:val="24"/>
                <w:lang w:eastAsia="ru-RU"/>
              </w:rPr>
              <w:t>Строк застосування</w:t>
            </w:r>
          </w:p>
        </w:tc>
      </w:tr>
      <w:tr>
        <w:tblPrEx>
          <w:shd w:val="clear" w:color="auto" w:fill="FFFFFF" w:themeFill="background1"/>
          <w:tblCellMar>
            <w:top w:w="0" w:type="dxa"/>
            <w:left w:w="108" w:type="dxa"/>
            <w:bottom w:w="0" w:type="dxa"/>
            <w:right w:w="108" w:type="dxa"/>
          </w:tblCellMar>
        </w:tblPrEx>
        <w:trPr>
          <w:trHeight w:val="20" w:hRule="atLeast"/>
        </w:trPr>
        <w:tc>
          <w:tcPr>
            <w:tcW w:w="709" w:type="dxa"/>
            <w:tcBorders>
              <w:top w:val="single" w:color="auto" w:sz="4" w:space="0"/>
            </w:tcBorders>
            <w:shd w:val="clear" w:color="auto" w:fill="FFFFFF" w:themeFill="background1"/>
            <w:noWrap/>
          </w:tcPr>
          <w:p>
            <w:pPr>
              <w:pStyle w:val="38"/>
              <w:numPr>
                <w:ilvl w:val="0"/>
                <w:numId w:val="1"/>
              </w:numPr>
              <w:spacing w:before="60"/>
              <w:ind w:left="0" w:firstLine="0"/>
              <w:jc w:val="left"/>
              <w:rPr>
                <w:rFonts w:eastAsia="Times New Roman"/>
                <w:color w:val="auto"/>
                <w:sz w:val="24"/>
                <w:lang w:eastAsia="ru-RU"/>
              </w:rPr>
            </w:pPr>
          </w:p>
        </w:tc>
        <w:tc>
          <w:tcPr>
            <w:tcW w:w="4678" w:type="dxa"/>
            <w:tcBorders>
              <w:top w:val="single" w:color="auto" w:sz="4" w:space="0"/>
            </w:tcBorders>
            <w:shd w:val="clear" w:color="auto" w:fill="FFFFFF" w:themeFill="background1"/>
          </w:tcPr>
          <w:p>
            <w:pPr>
              <w:spacing w:before="60"/>
              <w:jc w:val="left"/>
              <w:rPr>
                <w:sz w:val="24"/>
              </w:rPr>
            </w:pPr>
            <w:r>
              <w:rPr>
                <w:sz w:val="24"/>
              </w:rPr>
              <w:t>Індивідуальний підприємець Матвєєв Валерій Борисович (Индивидуальный предприниматель Матвеев Валерий Борисович, Individual Entrepreneur Matveev Valerii Borisovich). Відомості згідно з Єдиним державним реєстром індивідуальних підприємців Російської Федерації: основний державний реєстраційний номер індивідуального підприємця – 318169000203959, ідентифікаційний номер платника</w:t>
            </w:r>
          </w:p>
          <w:p>
            <w:pPr>
              <w:jc w:val="left"/>
              <w:rPr>
                <w:sz w:val="24"/>
              </w:rPr>
            </w:pPr>
            <w:r>
              <w:rPr>
                <w:sz w:val="24"/>
              </w:rPr>
              <w:t xml:space="preserve"> податків – 165801105485.</w:t>
            </w:r>
          </w:p>
        </w:tc>
        <w:tc>
          <w:tcPr>
            <w:tcW w:w="7337" w:type="dxa"/>
            <w:tcBorders>
              <w:top w:val="single" w:color="auto" w:sz="4" w:space="0"/>
            </w:tcBorders>
            <w:shd w:val="clear" w:color="auto" w:fill="FFFFFF" w:themeFill="background1"/>
          </w:tcPr>
          <w:p>
            <w:pPr>
              <w:pStyle w:val="8"/>
              <w:widowControl w:val="0"/>
              <w:tabs>
                <w:tab w:val="left" w:pos="-2410"/>
                <w:tab w:val="left" w:pos="-1843"/>
                <w:tab w:val="left" w:pos="601"/>
              </w:tabs>
              <w:spacing w:before="60"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 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line="230" w:lineRule="auto"/>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line="230" w:lineRule="auto"/>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30"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30"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line="230" w:lineRule="auto"/>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line="230" w:lineRule="auto"/>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line="230" w:lineRule="auto"/>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985" w:type="dxa"/>
            <w:tcBorders>
              <w:top w:val="single" w:color="auto" w:sz="4" w:space="0"/>
            </w:tcBorders>
            <w:shd w:val="clear" w:color="auto" w:fill="FFFFFF" w:themeFill="background1"/>
          </w:tcPr>
          <w:p>
            <w:pPr>
              <w:spacing w:before="60"/>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firstLine="0"/>
              <w:jc w:val="left"/>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Індивідуальний підприємець Белосохов Сергій Олексійович (Индивидуальный предприниматель Белосохов Сергей Алексеевич, Individual Entrepreneur Belosokhov Sergei Alekseevich). Відомості згідно з Єдиним державним реєстром індивідуальних підприємців Російської Федерації: основний державний реєстраційний номер індивідуального підприємця – 317774600383685, ідентифікаційний номер платника </w:t>
            </w:r>
          </w:p>
          <w:p>
            <w:pPr>
              <w:jc w:val="left"/>
              <w:rPr>
                <w:sz w:val="24"/>
              </w:rPr>
            </w:pPr>
            <w:r>
              <w:rPr>
                <w:sz w:val="24"/>
              </w:rPr>
              <w:t>податків – 773315482759.</w:t>
            </w:r>
          </w:p>
        </w:tc>
        <w:tc>
          <w:tcPr>
            <w:tcW w:w="7337"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 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985"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firstLine="0"/>
              <w:jc w:val="left"/>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Індивідуальний підприємець Строк Володимир Миколайович (Индивидуальный предприниматель Строк Владимир Николаевич, Individual Entrepreneur Strok Vladimir Nikolaevich). Відомості згідно з Єдиним державним реєстром індивідуальних підприємців Російської Федерації: основний державний реєстраційний номер індивідуального підприємця – 316774600335451, ідентифікаційний номер платника </w:t>
            </w:r>
          </w:p>
          <w:p>
            <w:pPr>
              <w:jc w:val="left"/>
              <w:rPr>
                <w:sz w:val="24"/>
              </w:rPr>
            </w:pPr>
            <w:r>
              <w:rPr>
                <w:sz w:val="24"/>
              </w:rPr>
              <w:t>податків – 771600707012.</w:t>
            </w:r>
          </w:p>
        </w:tc>
        <w:tc>
          <w:tcPr>
            <w:tcW w:w="7337" w:type="dxa"/>
            <w:shd w:val="clear" w:color="auto" w:fill="FFFFFF" w:themeFill="background1"/>
          </w:tcPr>
          <w:p>
            <w:pPr>
              <w:pStyle w:val="8"/>
              <w:widowControl w:val="0"/>
              <w:tabs>
                <w:tab w:val="left" w:pos="-2410"/>
                <w:tab w:val="left" w:pos="-1843"/>
                <w:tab w:val="left" w:pos="601"/>
              </w:tabs>
              <w:spacing w:after="0" w:line="233" w:lineRule="auto"/>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line="233" w:lineRule="auto"/>
              <w:ind w:left="0"/>
            </w:pPr>
            <w:r>
              <w:t>2) обмеження торговельних операцій (повне припинення);</w:t>
            </w:r>
          </w:p>
          <w:p>
            <w:pPr>
              <w:pStyle w:val="8"/>
              <w:widowControl w:val="0"/>
              <w:tabs>
                <w:tab w:val="left" w:pos="-2410"/>
                <w:tab w:val="left" w:pos="-1843"/>
                <w:tab w:val="left" w:pos="601"/>
              </w:tabs>
              <w:spacing w:after="0" w:line="233" w:lineRule="auto"/>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line="233" w:lineRule="auto"/>
              <w:ind w:left="0"/>
            </w:pPr>
            <w:r>
              <w:t>4) запобігання виведенню капіталів за межі України;</w:t>
            </w:r>
          </w:p>
          <w:p>
            <w:pPr>
              <w:pStyle w:val="8"/>
              <w:widowControl w:val="0"/>
              <w:tabs>
                <w:tab w:val="left" w:pos="-2410"/>
                <w:tab w:val="left" w:pos="-1843"/>
                <w:tab w:val="left" w:pos="601"/>
              </w:tabs>
              <w:spacing w:after="0" w:line="233" w:lineRule="auto"/>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line="233" w:lineRule="auto"/>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line="233" w:lineRule="auto"/>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line="233" w:lineRule="auto"/>
              <w:ind w:left="0"/>
            </w:pPr>
            <w:r>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line="233" w:lineRule="auto"/>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line="233" w:lineRule="auto"/>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33"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33"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line="233" w:lineRule="auto"/>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line="233" w:lineRule="auto"/>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line="233" w:lineRule="auto"/>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line="233" w:lineRule="auto"/>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line="233" w:lineRule="auto"/>
              <w:ind w:left="0"/>
            </w:pPr>
            <w:r>
              <w:t>17) заборона на набуття у власність земельних ділянок;</w:t>
            </w:r>
          </w:p>
          <w:p>
            <w:pPr>
              <w:pStyle w:val="8"/>
              <w:widowControl w:val="0"/>
              <w:tabs>
                <w:tab w:val="left" w:pos="-2410"/>
                <w:tab w:val="left" w:pos="-1843"/>
                <w:tab w:val="left" w:pos="601"/>
              </w:tabs>
              <w:spacing w:after="0" w:line="233" w:lineRule="auto"/>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985"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bl>
    <w:p>
      <w:pPr>
        <w:jc w:val="center"/>
      </w:pPr>
    </w:p>
    <w:sectPr>
      <w:headerReference r:id="rId3" w:type="default"/>
      <w:pgSz w:w="16838" w:h="11906" w:orient="landscape"/>
      <w:pgMar w:top="709" w:right="1134" w:bottom="851" w:left="1134" w:header="851" w:footer="709" w:gutter="0"/>
      <w:cols w:space="708"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706088"/>
      <w:docPartObj>
        <w:docPartGallery w:val="autotext"/>
      </w:docPartObj>
    </w:sdtPr>
    <w:sdtEndPr>
      <w:rPr>
        <w:sz w:val="24"/>
      </w:rPr>
    </w:sdtEndPr>
    <w:sdtContent>
      <w:p>
        <w:pPr>
          <w:pStyle w:val="7"/>
          <w:jc w:val="center"/>
          <w:rPr>
            <w:sz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31441"/>
    <w:multiLevelType w:val="multilevel"/>
    <w:tmpl w:val="362314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49"/>
    <w:rsid w:val="00085824"/>
    <w:rsid w:val="000A01CC"/>
    <w:rsid w:val="000A326A"/>
    <w:rsid w:val="00182171"/>
    <w:rsid w:val="0020234E"/>
    <w:rsid w:val="00232999"/>
    <w:rsid w:val="00274B4D"/>
    <w:rsid w:val="00297A1B"/>
    <w:rsid w:val="002D1F7D"/>
    <w:rsid w:val="002F7D5B"/>
    <w:rsid w:val="00405BD2"/>
    <w:rsid w:val="004418A2"/>
    <w:rsid w:val="00461BB5"/>
    <w:rsid w:val="004C0A9E"/>
    <w:rsid w:val="004F7937"/>
    <w:rsid w:val="004F7A6F"/>
    <w:rsid w:val="00510C1F"/>
    <w:rsid w:val="00557FF0"/>
    <w:rsid w:val="005675B8"/>
    <w:rsid w:val="00591DBC"/>
    <w:rsid w:val="005B2660"/>
    <w:rsid w:val="00616CC1"/>
    <w:rsid w:val="00643835"/>
    <w:rsid w:val="006F5D49"/>
    <w:rsid w:val="006F6308"/>
    <w:rsid w:val="00710B7F"/>
    <w:rsid w:val="00754B9A"/>
    <w:rsid w:val="007A4A47"/>
    <w:rsid w:val="007B48E9"/>
    <w:rsid w:val="007D12BE"/>
    <w:rsid w:val="00891511"/>
    <w:rsid w:val="00896103"/>
    <w:rsid w:val="008C4108"/>
    <w:rsid w:val="008E12DD"/>
    <w:rsid w:val="00910A19"/>
    <w:rsid w:val="0094093F"/>
    <w:rsid w:val="009479C8"/>
    <w:rsid w:val="00973F16"/>
    <w:rsid w:val="009D4B77"/>
    <w:rsid w:val="009D746E"/>
    <w:rsid w:val="00A04E87"/>
    <w:rsid w:val="00A70E12"/>
    <w:rsid w:val="00AA0E63"/>
    <w:rsid w:val="00AB5E71"/>
    <w:rsid w:val="00AD0D34"/>
    <w:rsid w:val="00AD7225"/>
    <w:rsid w:val="00BA1612"/>
    <w:rsid w:val="00BA5AF6"/>
    <w:rsid w:val="00BA650F"/>
    <w:rsid w:val="00BB146A"/>
    <w:rsid w:val="00C136A0"/>
    <w:rsid w:val="00C206F9"/>
    <w:rsid w:val="00C552D1"/>
    <w:rsid w:val="00C57E17"/>
    <w:rsid w:val="00C66351"/>
    <w:rsid w:val="00C803B6"/>
    <w:rsid w:val="00C97FA1"/>
    <w:rsid w:val="00CA2B00"/>
    <w:rsid w:val="00CA7E49"/>
    <w:rsid w:val="00CD6F67"/>
    <w:rsid w:val="00D253DD"/>
    <w:rsid w:val="00E315A9"/>
    <w:rsid w:val="00E76F55"/>
    <w:rsid w:val="00E979FE"/>
    <w:rsid w:val="00EA526B"/>
    <w:rsid w:val="00F17131"/>
    <w:rsid w:val="00F23FA3"/>
    <w:rsid w:val="00F30F62"/>
    <w:rsid w:val="00F70707"/>
    <w:rsid w:val="00FA3C0E"/>
    <w:rsid w:val="00FC5907"/>
    <w:rsid w:val="00FF0988"/>
    <w:rsid w:val="3C81142D"/>
    <w:rsid w:val="4FB37D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jc w:val="both"/>
    </w:pPr>
    <w:rPr>
      <w:rFonts w:ascii="Times New Roman" w:hAnsi="Times New Roman" w:cs="Times New Roman" w:eastAsiaTheme="minorHAnsi"/>
      <w:color w:val="000000"/>
      <w:sz w:val="28"/>
      <w:szCs w:val="24"/>
      <w:lang w:val="uk-UA"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u w:val="single"/>
    </w:rPr>
  </w:style>
  <w:style w:type="character" w:styleId="5">
    <w:name w:val="Hyperlink"/>
    <w:basedOn w:val="2"/>
    <w:semiHidden/>
    <w:unhideWhenUsed/>
    <w:qFormat/>
    <w:uiPriority w:val="99"/>
    <w:rPr>
      <w:color w:val="0563C1"/>
      <w:u w:val="single"/>
    </w:rPr>
  </w:style>
  <w:style w:type="paragraph" w:styleId="6">
    <w:name w:val="Balloon Text"/>
    <w:basedOn w:val="1"/>
    <w:link w:val="40"/>
    <w:semiHidden/>
    <w:unhideWhenUsed/>
    <w:qFormat/>
    <w:uiPriority w:val="99"/>
    <w:rPr>
      <w:rFonts w:ascii="Segoe UI" w:hAnsi="Segoe UI" w:cs="Segoe UI"/>
      <w:sz w:val="18"/>
      <w:szCs w:val="18"/>
    </w:rPr>
  </w:style>
  <w:style w:type="paragraph" w:styleId="7">
    <w:name w:val="header"/>
    <w:basedOn w:val="1"/>
    <w:link w:val="36"/>
    <w:unhideWhenUsed/>
    <w:qFormat/>
    <w:uiPriority w:val="99"/>
    <w:pPr>
      <w:tabs>
        <w:tab w:val="center" w:pos="4677"/>
        <w:tab w:val="right" w:pos="9355"/>
      </w:tabs>
    </w:pPr>
  </w:style>
  <w:style w:type="paragraph" w:styleId="8">
    <w:name w:val="Body Text Indent"/>
    <w:basedOn w:val="1"/>
    <w:link w:val="43"/>
    <w:unhideWhenUsed/>
    <w:qFormat/>
    <w:uiPriority w:val="99"/>
    <w:pPr>
      <w:spacing w:after="120"/>
      <w:ind w:left="283"/>
      <w:jc w:val="left"/>
    </w:pPr>
    <w:rPr>
      <w:rFonts w:eastAsia="Times New Roman"/>
      <w:color w:val="auto"/>
      <w:sz w:val="24"/>
      <w:lang w:eastAsia="ru-RU"/>
    </w:rPr>
  </w:style>
  <w:style w:type="paragraph" w:styleId="9">
    <w:name w:val="footer"/>
    <w:basedOn w:val="1"/>
    <w:link w:val="37"/>
    <w:unhideWhenUsed/>
    <w:qFormat/>
    <w:uiPriority w:val="99"/>
    <w:pPr>
      <w:tabs>
        <w:tab w:val="center" w:pos="4677"/>
        <w:tab w:val="right" w:pos="9355"/>
      </w:tabs>
    </w:pPr>
  </w:style>
  <w:style w:type="paragraph" w:customStyle="1" w:styleId="10">
    <w:name w:val="текст"/>
    <w:basedOn w:val="1"/>
    <w:qFormat/>
    <w:uiPriority w:val="0"/>
    <w:rPr>
      <w:rFonts w:cstheme="minorBidi"/>
      <w:szCs w:val="22"/>
    </w:rPr>
  </w:style>
  <w:style w:type="paragraph" w:customStyle="1" w:styleId="11">
    <w:name w:val="msonormal"/>
    <w:basedOn w:val="1"/>
    <w:qFormat/>
    <w:uiPriority w:val="0"/>
    <w:pPr>
      <w:spacing w:before="100" w:beforeAutospacing="1" w:after="100" w:afterAutospacing="1"/>
      <w:jc w:val="left"/>
    </w:pPr>
    <w:rPr>
      <w:rFonts w:eastAsia="Times New Roman"/>
      <w:color w:val="auto"/>
      <w:sz w:val="24"/>
      <w:lang w:val="ru-RU" w:eastAsia="ru-RU"/>
    </w:rPr>
  </w:style>
  <w:style w:type="paragraph" w:customStyle="1" w:styleId="12">
    <w:name w:val="font5"/>
    <w:basedOn w:val="1"/>
    <w:qFormat/>
    <w:uiPriority w:val="0"/>
    <w:pPr>
      <w:spacing w:before="100" w:beforeAutospacing="1" w:after="100" w:afterAutospacing="1"/>
      <w:jc w:val="left"/>
    </w:pPr>
    <w:rPr>
      <w:rFonts w:eastAsia="Times New Roman"/>
      <w:color w:val="FF0000"/>
      <w:sz w:val="24"/>
      <w:lang w:val="ru-RU" w:eastAsia="ru-RU"/>
    </w:rPr>
  </w:style>
  <w:style w:type="paragraph" w:customStyle="1" w:styleId="13">
    <w:name w:val="font6"/>
    <w:basedOn w:val="1"/>
    <w:qFormat/>
    <w:uiPriority w:val="0"/>
    <w:pPr>
      <w:spacing w:before="100" w:beforeAutospacing="1" w:after="100" w:afterAutospacing="1"/>
      <w:jc w:val="left"/>
    </w:pPr>
    <w:rPr>
      <w:rFonts w:eastAsia="Times New Roman"/>
      <w:color w:val="auto"/>
      <w:sz w:val="24"/>
      <w:lang w:val="ru-RU" w:eastAsia="ru-RU"/>
    </w:rPr>
  </w:style>
  <w:style w:type="paragraph" w:customStyle="1" w:styleId="14">
    <w:name w:val="font7"/>
    <w:basedOn w:val="1"/>
    <w:qFormat/>
    <w:uiPriority w:val="0"/>
    <w:pPr>
      <w:spacing w:before="100" w:beforeAutospacing="1" w:after="100" w:afterAutospacing="1"/>
      <w:jc w:val="left"/>
    </w:pPr>
    <w:rPr>
      <w:rFonts w:eastAsia="Times New Roman"/>
      <w:szCs w:val="28"/>
      <w:lang w:val="ru-RU" w:eastAsia="ru-RU"/>
    </w:rPr>
  </w:style>
  <w:style w:type="paragraph" w:customStyle="1" w:styleId="15">
    <w:name w:val="font8"/>
    <w:basedOn w:val="1"/>
    <w:qFormat/>
    <w:uiPriority w:val="0"/>
    <w:pPr>
      <w:spacing w:before="100" w:beforeAutospacing="1" w:after="100" w:afterAutospacing="1"/>
      <w:jc w:val="left"/>
    </w:pPr>
    <w:rPr>
      <w:rFonts w:eastAsia="Times New Roman"/>
      <w:sz w:val="24"/>
      <w:lang w:val="ru-RU" w:eastAsia="ru-RU"/>
    </w:rPr>
  </w:style>
  <w:style w:type="paragraph" w:customStyle="1" w:styleId="16">
    <w:name w:val="font9"/>
    <w:basedOn w:val="1"/>
    <w:qFormat/>
    <w:uiPriority w:val="0"/>
    <w:pPr>
      <w:spacing w:before="100" w:beforeAutospacing="1" w:after="100" w:afterAutospacing="1"/>
      <w:jc w:val="left"/>
    </w:pPr>
    <w:rPr>
      <w:rFonts w:eastAsia="Times New Roman"/>
      <w:color w:val="FF0000"/>
      <w:szCs w:val="28"/>
      <w:lang w:val="ru-RU" w:eastAsia="ru-RU"/>
    </w:rPr>
  </w:style>
  <w:style w:type="paragraph" w:customStyle="1" w:styleId="17">
    <w:name w:val="font10"/>
    <w:basedOn w:val="1"/>
    <w:qFormat/>
    <w:uiPriority w:val="0"/>
    <w:pPr>
      <w:spacing w:before="100" w:beforeAutospacing="1" w:after="100" w:afterAutospacing="1"/>
      <w:jc w:val="left"/>
    </w:pPr>
    <w:rPr>
      <w:rFonts w:ascii="Segoe UI" w:hAnsi="Segoe UI" w:eastAsia="Times New Roman" w:cs="Segoe UI"/>
      <w:color w:val="FF0000"/>
      <w:szCs w:val="28"/>
      <w:lang w:val="ru-RU" w:eastAsia="ru-RU"/>
    </w:rPr>
  </w:style>
  <w:style w:type="paragraph" w:customStyle="1" w:styleId="18">
    <w:name w:val="font11"/>
    <w:basedOn w:val="1"/>
    <w:qFormat/>
    <w:uiPriority w:val="0"/>
    <w:pPr>
      <w:spacing w:before="100" w:beforeAutospacing="1" w:after="100" w:afterAutospacing="1"/>
      <w:jc w:val="left"/>
    </w:pPr>
    <w:rPr>
      <w:rFonts w:eastAsia="Times New Roman"/>
      <w:b/>
      <w:bCs/>
      <w:color w:val="FF0000"/>
      <w:sz w:val="24"/>
      <w:lang w:val="ru-RU" w:eastAsia="ru-RU"/>
    </w:rPr>
  </w:style>
  <w:style w:type="paragraph" w:customStyle="1" w:styleId="19">
    <w:name w:val="font12"/>
    <w:basedOn w:val="1"/>
    <w:qFormat/>
    <w:uiPriority w:val="0"/>
    <w:pPr>
      <w:spacing w:before="100" w:beforeAutospacing="1" w:after="100" w:afterAutospacing="1"/>
      <w:jc w:val="left"/>
    </w:pPr>
    <w:rPr>
      <w:rFonts w:eastAsia="Times New Roman"/>
      <w:color w:val="1F4E78"/>
      <w:sz w:val="24"/>
      <w:lang w:val="ru-RU" w:eastAsia="ru-RU"/>
    </w:rPr>
  </w:style>
  <w:style w:type="paragraph" w:customStyle="1" w:styleId="20">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color w:val="FF0000"/>
      <w:sz w:val="24"/>
      <w:lang w:val="ru-RU" w:eastAsia="ru-RU"/>
    </w:rPr>
  </w:style>
  <w:style w:type="paragraph" w:customStyle="1" w:styleId="21">
    <w:name w:val="xl64"/>
    <w:basedOn w:val="1"/>
    <w:qFormat/>
    <w:uiPriority w:val="0"/>
    <w:pPr>
      <w:pBdr>
        <w:top w:val="single" w:color="auto" w:sz="8" w:space="0"/>
        <w:left w:val="single" w:color="auto" w:sz="8" w:space="0"/>
        <w:right w:val="single" w:color="auto" w:sz="8" w:space="0"/>
      </w:pBdr>
      <w:shd w:val="clear" w:color="000000" w:fill="FFFFFF"/>
      <w:spacing w:before="100" w:beforeAutospacing="1" w:after="100" w:afterAutospacing="1"/>
      <w:jc w:val="center"/>
      <w:textAlignment w:val="center"/>
    </w:pPr>
    <w:rPr>
      <w:rFonts w:eastAsia="Times New Roman"/>
      <w:color w:val="auto"/>
      <w:sz w:val="24"/>
      <w:lang w:val="ru-RU" w:eastAsia="ru-RU"/>
    </w:rPr>
  </w:style>
  <w:style w:type="paragraph" w:customStyle="1" w:styleId="22">
    <w:name w:val="xl65"/>
    <w:basedOn w:val="1"/>
    <w:qFormat/>
    <w:uiPriority w:val="0"/>
    <w:pPr>
      <w:pBdr>
        <w:top w:val="single" w:color="auto" w:sz="8" w:space="0"/>
        <w:right w:val="single" w:color="auto" w:sz="8" w:space="0"/>
      </w:pBdr>
      <w:shd w:val="clear" w:color="000000" w:fill="FFFFFF"/>
      <w:spacing w:before="100" w:beforeAutospacing="1" w:after="100" w:afterAutospacing="1"/>
      <w:jc w:val="center"/>
      <w:textAlignment w:val="center"/>
    </w:pPr>
    <w:rPr>
      <w:rFonts w:eastAsia="Times New Roman"/>
      <w:color w:val="auto"/>
      <w:sz w:val="24"/>
      <w:lang w:val="ru-RU" w:eastAsia="ru-RU"/>
    </w:rPr>
  </w:style>
  <w:style w:type="paragraph" w:customStyle="1" w:styleId="23">
    <w:name w:val="xl6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Times New Roman"/>
      <w:color w:val="FF0000"/>
      <w:sz w:val="24"/>
      <w:lang w:val="ru-RU" w:eastAsia="ru-RU"/>
    </w:rPr>
  </w:style>
  <w:style w:type="paragraph" w:customStyle="1" w:styleId="24">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color w:val="auto"/>
      <w:sz w:val="24"/>
      <w:lang w:val="ru-RU" w:eastAsia="ru-RU"/>
    </w:rPr>
  </w:style>
  <w:style w:type="paragraph" w:customStyle="1" w:styleId="25">
    <w:name w:val="xl68"/>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eastAsia="Times New Roman"/>
      <w:color w:val="FF0000"/>
      <w:sz w:val="24"/>
      <w:lang w:val="ru-RU" w:eastAsia="ru-RU"/>
    </w:rPr>
  </w:style>
  <w:style w:type="paragraph" w:customStyle="1" w:styleId="26">
    <w:name w:val="xl69"/>
    <w:basedOn w:val="1"/>
    <w:qFormat/>
    <w:uiPriority w:val="0"/>
    <w:pPr>
      <w:pBdr>
        <w:bottom w:val="single" w:color="auto" w:sz="8" w:space="0"/>
        <w:right w:val="single" w:color="auto" w:sz="8" w:space="0"/>
      </w:pBdr>
      <w:shd w:val="clear" w:color="000000" w:fill="FFFFFF"/>
      <w:spacing w:before="100" w:beforeAutospacing="1" w:after="100" w:afterAutospacing="1"/>
      <w:jc w:val="left"/>
      <w:textAlignment w:val="center"/>
    </w:pPr>
    <w:rPr>
      <w:rFonts w:eastAsia="Times New Roman"/>
      <w:color w:val="FF0000"/>
      <w:sz w:val="24"/>
      <w:lang w:val="ru-RU" w:eastAsia="ru-RU"/>
    </w:rPr>
  </w:style>
  <w:style w:type="paragraph" w:customStyle="1" w:styleId="27">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color w:val="auto"/>
      <w:sz w:val="24"/>
      <w:lang w:val="ru-RU" w:eastAsia="ru-RU"/>
    </w:rPr>
  </w:style>
  <w:style w:type="paragraph" w:customStyle="1" w:styleId="28">
    <w:name w:val="xl71"/>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29">
    <w:name w:val="xl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eastAsia="Times New Roman"/>
      <w:sz w:val="24"/>
      <w:lang w:val="ru-RU" w:eastAsia="ru-RU"/>
    </w:rPr>
  </w:style>
  <w:style w:type="paragraph" w:customStyle="1" w:styleId="30">
    <w:name w:val="xl73"/>
    <w:basedOn w:val="1"/>
    <w:qFormat/>
    <w:uiPriority w:val="0"/>
    <w:pPr>
      <w:pBdr>
        <w:bottom w:val="single" w:color="auto" w:sz="8" w:space="0"/>
        <w:right w:val="single" w:color="auto" w:sz="8" w:space="0"/>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31">
    <w:name w:val="xl74"/>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32">
    <w:name w:val="xl75"/>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customStyle="1" w:styleId="33">
    <w:name w:val="xl76"/>
    <w:basedOn w:val="1"/>
    <w:qFormat/>
    <w:uiPriority w:val="0"/>
    <w:pPr>
      <w:pBdr>
        <w:left w:val="single" w:color="auto" w:sz="8" w:space="0"/>
        <w:bottom w:val="single" w:color="auto" w:sz="8" w:space="0"/>
        <w:right w:val="single" w:color="auto" w:sz="8" w:space="0"/>
      </w:pBdr>
      <w:spacing w:before="100" w:beforeAutospacing="1" w:after="100" w:afterAutospacing="1"/>
      <w:jc w:val="left"/>
      <w:textAlignment w:val="top"/>
    </w:pPr>
    <w:rPr>
      <w:rFonts w:eastAsia="Times New Roman"/>
      <w:sz w:val="24"/>
      <w:lang w:val="ru-RU" w:eastAsia="ru-RU"/>
    </w:rPr>
  </w:style>
  <w:style w:type="paragraph" w:customStyle="1" w:styleId="34">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customStyle="1" w:styleId="35">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eastAsia="Times New Roman"/>
      <w:color w:val="auto"/>
      <w:sz w:val="24"/>
      <w:lang w:val="ru-RU" w:eastAsia="ru-RU"/>
    </w:rPr>
  </w:style>
  <w:style w:type="character" w:customStyle="1" w:styleId="36">
    <w:name w:val="Верхній колонтитул Знак"/>
    <w:basedOn w:val="2"/>
    <w:link w:val="7"/>
    <w:qFormat/>
    <w:uiPriority w:val="99"/>
    <w:rPr>
      <w:lang w:val="uk-UA"/>
    </w:rPr>
  </w:style>
  <w:style w:type="character" w:customStyle="1" w:styleId="37">
    <w:name w:val="Нижній колонтитул Знак"/>
    <w:basedOn w:val="2"/>
    <w:link w:val="9"/>
    <w:qFormat/>
    <w:uiPriority w:val="99"/>
    <w:rPr>
      <w:lang w:val="uk-UA"/>
    </w:rPr>
  </w:style>
  <w:style w:type="paragraph" w:styleId="38">
    <w:name w:val="List Paragraph"/>
    <w:basedOn w:val="1"/>
    <w:qFormat/>
    <w:uiPriority w:val="34"/>
    <w:pPr>
      <w:ind w:left="720"/>
      <w:contextualSpacing/>
    </w:pPr>
  </w:style>
  <w:style w:type="character" w:customStyle="1" w:styleId="39">
    <w:name w:val="Основной текст + Курсив;Интервал 0 pt"/>
    <w:qFormat/>
    <w:uiPriority w:val="0"/>
    <w:rPr>
      <w:rFonts w:ascii="Times New Roman" w:hAnsi="Times New Roman" w:eastAsia="Times New Roman" w:cs="Times New Roman"/>
      <w:i/>
      <w:iCs/>
      <w:color w:val="000000"/>
      <w:spacing w:val="0"/>
      <w:w w:val="100"/>
      <w:position w:val="0"/>
      <w:sz w:val="26"/>
      <w:szCs w:val="26"/>
      <w:u w:val="none"/>
      <w:lang w:val="uk-UA" w:eastAsia="uk-UA" w:bidi="uk-UA"/>
    </w:rPr>
  </w:style>
  <w:style w:type="character" w:customStyle="1" w:styleId="40">
    <w:name w:val="Текст у виносці Знак"/>
    <w:basedOn w:val="2"/>
    <w:link w:val="6"/>
    <w:semiHidden/>
    <w:qFormat/>
    <w:uiPriority w:val="99"/>
    <w:rPr>
      <w:rFonts w:ascii="Segoe UI" w:hAnsi="Segoe UI" w:cs="Segoe UI"/>
      <w:sz w:val="18"/>
      <w:szCs w:val="18"/>
      <w:lang w:val="uk-UA"/>
    </w:rPr>
  </w:style>
  <w:style w:type="character" w:customStyle="1" w:styleId="41">
    <w:name w:val="Подпись к таблице_"/>
    <w:link w:val="42"/>
    <w:qFormat/>
    <w:locked/>
    <w:uiPriority w:val="99"/>
    <w:rPr>
      <w:shd w:val="clear" w:color="auto" w:fill="FFFFFF"/>
    </w:rPr>
  </w:style>
  <w:style w:type="paragraph" w:customStyle="1" w:styleId="42">
    <w:name w:val="Подпись к таблице1"/>
    <w:basedOn w:val="1"/>
    <w:link w:val="41"/>
    <w:qFormat/>
    <w:uiPriority w:val="99"/>
    <w:pPr>
      <w:widowControl w:val="0"/>
      <w:shd w:val="clear" w:color="auto" w:fill="FFFFFF"/>
      <w:spacing w:line="283" w:lineRule="exact"/>
      <w:jc w:val="left"/>
    </w:pPr>
    <w:rPr>
      <w:lang w:val="ru-RU"/>
    </w:rPr>
  </w:style>
  <w:style w:type="character" w:customStyle="1" w:styleId="43">
    <w:name w:val="Основний текст з відступом Знак"/>
    <w:basedOn w:val="2"/>
    <w:link w:val="8"/>
    <w:qFormat/>
    <w:uiPriority w:val="99"/>
    <w:rPr>
      <w:rFonts w:eastAsia="Times New Roman"/>
      <w:color w:val="auto"/>
      <w:sz w:val="24"/>
      <w:lang w:val="uk-UA" w:eastAsia="ru-RU"/>
    </w:rPr>
  </w:style>
  <w:style w:type="paragraph" w:customStyle="1" w:styleId="44">
    <w:name w:val="rvps2"/>
    <w:basedOn w:val="1"/>
    <w:qFormat/>
    <w:uiPriority w:val="0"/>
    <w:pPr>
      <w:spacing w:before="100" w:beforeAutospacing="1" w:after="100" w:afterAutospacing="1"/>
      <w:jc w:val="left"/>
    </w:pPr>
    <w:rPr>
      <w:rFonts w:eastAsia="Times New Roman"/>
      <w:color w:val="auto"/>
      <w:sz w:val="24"/>
      <w:lang w:val="ru-RU"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12C1-9481-4040-A636-426EABA5799C}">
  <ds:schemaRefs/>
</ds:datastoreItem>
</file>

<file path=docProps/app.xml><?xml version="1.0" encoding="utf-8"?>
<Properties xmlns="http://schemas.openxmlformats.org/officeDocument/2006/extended-properties" xmlns:vt="http://schemas.openxmlformats.org/officeDocument/2006/docPropsVTypes">
  <Template>Normal</Template>
  <Pages>6</Pages>
  <Words>1431</Words>
  <Characters>9881</Characters>
  <Lines>34</Lines>
  <Paragraphs>22</Paragraphs>
  <TotalTime>2</TotalTime>
  <ScaleCrop>false</ScaleCrop>
  <LinksUpToDate>false</LinksUpToDate>
  <CharactersWithSpaces>11242</CharactersWithSpaces>
  <Application>WPS Office_11.2.0.11214_F1E327BC-269C-435d-A152-05C5408002CA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2023-01-28T12:31:00Z</dcterms:created>
  <dcterms:modified xsi:type="dcterms:W3CDTF">2023-02-02T13:20:04Z</dcterms:modified>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1049-11.2.0.11214</vt:lpwstr>
  </property>
  <property fmtid="{D5CDD505-2E9C-101B-9397-08002B2CF9AE}" pid="3" name="ICV">
    <vt:lpwstr>2936B639DD644F7098661258015F0D26</vt:lpwstr>
  </property>
</Properties>
</file>