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1B" w:rsidRPr="004B0228" w:rsidRDefault="00396A1B" w:rsidP="00F100FC">
      <w:pPr>
        <w:pStyle w:val="Ch61"/>
        <w:ind w:left="4932"/>
        <w:rPr>
          <w:rFonts w:ascii="Times New Roman" w:hAnsi="Times New Roman" w:cs="Times New Roman"/>
          <w:w w:val="100"/>
          <w:sz w:val="24"/>
          <w:szCs w:val="24"/>
        </w:rPr>
      </w:pPr>
      <w:r w:rsidRPr="004B0228">
        <w:rPr>
          <w:rFonts w:ascii="Times New Roman" w:hAnsi="Times New Roman" w:cs="Times New Roman"/>
          <w:w w:val="100"/>
          <w:sz w:val="24"/>
          <w:szCs w:val="24"/>
        </w:rPr>
        <w:t>Додаток 4</w:t>
      </w:r>
      <w:r w:rsidRPr="004B0228">
        <w:rPr>
          <w:rFonts w:ascii="Times New Roman" w:hAnsi="Times New Roman" w:cs="Times New Roman"/>
          <w:w w:val="100"/>
          <w:sz w:val="24"/>
          <w:szCs w:val="24"/>
        </w:rPr>
        <w:br/>
        <w:t xml:space="preserve">до Порядку визначення </w:t>
      </w:r>
      <w:r w:rsidRPr="004B0228">
        <w:rPr>
          <w:rFonts w:ascii="Times New Roman" w:hAnsi="Times New Roman" w:cs="Times New Roman"/>
          <w:w w:val="100"/>
          <w:sz w:val="24"/>
          <w:szCs w:val="24"/>
        </w:rPr>
        <w:br/>
        <w:t xml:space="preserve">та обладнання центральних </w:t>
      </w:r>
      <w:r w:rsidRPr="004B0228">
        <w:rPr>
          <w:rFonts w:ascii="Times New Roman" w:hAnsi="Times New Roman" w:cs="Times New Roman"/>
          <w:w w:val="100"/>
          <w:sz w:val="24"/>
          <w:szCs w:val="24"/>
        </w:rPr>
        <w:br/>
        <w:t>(регіональних) сортувальних станцій</w:t>
      </w:r>
      <w:r w:rsidRPr="004B0228">
        <w:rPr>
          <w:rFonts w:ascii="Times New Roman" w:hAnsi="Times New Roman" w:cs="Times New Roman"/>
          <w:w w:val="100"/>
          <w:sz w:val="24"/>
          <w:szCs w:val="24"/>
        </w:rPr>
        <w:br/>
        <w:t>(підпункт 4 пункту 6 розділу ІІІ)</w:t>
      </w:r>
    </w:p>
    <w:p w:rsidR="00396A1B" w:rsidRPr="004B0228" w:rsidRDefault="00396A1B" w:rsidP="00F100FC">
      <w:pPr>
        <w:pStyle w:val="Ch60"/>
        <w:rPr>
          <w:rFonts w:ascii="Times New Roman" w:hAnsi="Times New Roman" w:cs="Times New Roman"/>
          <w:w w:val="100"/>
          <w:sz w:val="24"/>
          <w:szCs w:val="24"/>
        </w:rPr>
      </w:pPr>
      <w:r w:rsidRPr="004B0228">
        <w:rPr>
          <w:rFonts w:ascii="Times New Roman" w:hAnsi="Times New Roman" w:cs="Times New Roman"/>
          <w:w w:val="100"/>
          <w:sz w:val="24"/>
          <w:szCs w:val="24"/>
        </w:rPr>
        <w:t>ВИСНОВОК</w:t>
      </w:r>
      <w:r w:rsidRPr="004B0228">
        <w:rPr>
          <w:rFonts w:ascii="Times New Roman" w:hAnsi="Times New Roman" w:cs="Times New Roman"/>
          <w:w w:val="100"/>
          <w:sz w:val="24"/>
          <w:szCs w:val="24"/>
        </w:rPr>
        <w:br/>
        <w:t xml:space="preserve">про можливість визначення центральної </w:t>
      </w:r>
      <w:r w:rsidRPr="004B0228">
        <w:rPr>
          <w:rFonts w:ascii="Times New Roman" w:hAnsi="Times New Roman" w:cs="Times New Roman"/>
          <w:w w:val="100"/>
          <w:sz w:val="24"/>
          <w:szCs w:val="24"/>
        </w:rPr>
        <w:br/>
        <w:t>(регіональної) сортувальної станції*</w:t>
      </w:r>
    </w:p>
    <w:p w:rsidR="00396A1B" w:rsidRPr="004B0228" w:rsidRDefault="00396A1B" w:rsidP="00F100FC">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w:t>
      </w:r>
      <w:r w:rsidRPr="004B0228">
        <w:rPr>
          <w:rFonts w:ascii="Times New Roman" w:hAnsi="Times New Roman" w:cs="Times New Roman"/>
          <w:w w:val="100"/>
          <w:sz w:val="24"/>
          <w:szCs w:val="24"/>
        </w:rPr>
        <w:t xml:space="preserve"> провела попередній розгляд заяви </w:t>
      </w:r>
    </w:p>
    <w:p w:rsidR="00396A1B" w:rsidRPr="00F100FC" w:rsidRDefault="00396A1B" w:rsidP="00F100FC">
      <w:pPr>
        <w:pStyle w:val="StrokeCh6"/>
        <w:ind w:right="2810"/>
        <w:rPr>
          <w:rFonts w:ascii="Times New Roman" w:hAnsi="Times New Roman" w:cs="Times New Roman"/>
          <w:w w:val="100"/>
          <w:sz w:val="20"/>
          <w:szCs w:val="20"/>
        </w:rPr>
      </w:pPr>
      <w:r w:rsidRPr="00F100FC">
        <w:rPr>
          <w:rFonts w:ascii="Times New Roman" w:hAnsi="Times New Roman" w:cs="Times New Roman"/>
          <w:w w:val="100"/>
          <w:sz w:val="20"/>
          <w:szCs w:val="20"/>
        </w:rPr>
        <w:t xml:space="preserve">(найменування митниці) </w:t>
      </w:r>
    </w:p>
    <w:p w:rsidR="00396A1B" w:rsidRPr="004B0228" w:rsidRDefault="00396A1B" w:rsidP="00F100FC">
      <w:pPr>
        <w:pStyle w:val="Ch62"/>
        <w:spacing w:before="57"/>
        <w:rPr>
          <w:rFonts w:ascii="Times New Roman" w:hAnsi="Times New Roman" w:cs="Times New Roman"/>
          <w:w w:val="100"/>
          <w:sz w:val="24"/>
          <w:szCs w:val="24"/>
        </w:rPr>
      </w:pPr>
      <w:r w:rsidRPr="004B0228">
        <w:rPr>
          <w:rFonts w:ascii="Times New Roman" w:hAnsi="Times New Roman" w:cs="Times New Roman"/>
          <w:w w:val="100"/>
          <w:sz w:val="24"/>
          <w:szCs w:val="24"/>
        </w:rPr>
        <w:t xml:space="preserve">та оцінку відповідності </w:t>
      </w:r>
      <w:r>
        <w:rPr>
          <w:rFonts w:ascii="Times New Roman" w:hAnsi="Times New Roman" w:cs="Times New Roman"/>
          <w:w w:val="100"/>
          <w:sz w:val="24"/>
          <w:szCs w:val="24"/>
        </w:rPr>
        <w:t>______________________________________________________________</w:t>
      </w:r>
      <w:r w:rsidRPr="004B0228">
        <w:rPr>
          <w:rFonts w:ascii="Times New Roman" w:hAnsi="Times New Roman" w:cs="Times New Roman"/>
          <w:w w:val="100"/>
          <w:sz w:val="24"/>
          <w:szCs w:val="24"/>
        </w:rPr>
        <w:t xml:space="preserve"> </w:t>
      </w:r>
    </w:p>
    <w:p w:rsidR="00396A1B" w:rsidRPr="00F100FC" w:rsidRDefault="00396A1B" w:rsidP="00F100FC">
      <w:pPr>
        <w:pStyle w:val="StrokeCh6"/>
        <w:ind w:left="1820"/>
        <w:rPr>
          <w:rFonts w:ascii="Times New Roman" w:hAnsi="Times New Roman" w:cs="Times New Roman"/>
          <w:w w:val="100"/>
          <w:sz w:val="20"/>
          <w:szCs w:val="20"/>
        </w:rPr>
      </w:pPr>
      <w:r w:rsidRPr="00F100FC">
        <w:rPr>
          <w:rFonts w:ascii="Times New Roman" w:hAnsi="Times New Roman" w:cs="Times New Roman"/>
          <w:w w:val="100"/>
          <w:sz w:val="20"/>
          <w:szCs w:val="20"/>
        </w:rPr>
        <w:t>(повне найменування підприємства (заявника), код згідно з ЄДРПОУ)</w:t>
      </w:r>
    </w:p>
    <w:p w:rsidR="00396A1B" w:rsidRPr="004B0228" w:rsidRDefault="00396A1B" w:rsidP="00F100FC">
      <w:pPr>
        <w:pStyle w:val="Ch62"/>
        <w:spacing w:before="57"/>
        <w:rPr>
          <w:rFonts w:ascii="Times New Roman" w:hAnsi="Times New Roman" w:cs="Times New Roman"/>
          <w:w w:val="100"/>
          <w:sz w:val="24"/>
          <w:szCs w:val="24"/>
        </w:rPr>
      </w:pPr>
      <w:r w:rsidRPr="004B0228">
        <w:rPr>
          <w:rFonts w:ascii="Times New Roman" w:hAnsi="Times New Roman" w:cs="Times New Roman"/>
          <w:w w:val="100"/>
          <w:sz w:val="24"/>
          <w:szCs w:val="24"/>
        </w:rPr>
        <w:t>за заявою підприємства від ________________ 20___ р. № _________.</w:t>
      </w:r>
    </w:p>
    <w:p w:rsidR="00396A1B" w:rsidRPr="004B0228" w:rsidRDefault="00396A1B" w:rsidP="00F100FC">
      <w:pPr>
        <w:pStyle w:val="Ch6"/>
        <w:spacing w:before="113"/>
        <w:rPr>
          <w:rFonts w:ascii="Times New Roman" w:hAnsi="Times New Roman" w:cs="Times New Roman"/>
          <w:w w:val="100"/>
          <w:sz w:val="24"/>
          <w:szCs w:val="24"/>
        </w:rPr>
      </w:pPr>
      <w:r w:rsidRPr="004B0228">
        <w:rPr>
          <w:rStyle w:val="Bold"/>
          <w:rFonts w:ascii="Times New Roman" w:hAnsi="Times New Roman" w:cs="Times New Roman"/>
          <w:bCs/>
          <w:w w:val="100"/>
          <w:sz w:val="24"/>
          <w:szCs w:val="24"/>
        </w:rPr>
        <w:t xml:space="preserve">І. </w:t>
      </w:r>
      <w:r w:rsidRPr="004B0228">
        <w:rPr>
          <w:rFonts w:ascii="Times New Roman" w:hAnsi="Times New Roman" w:cs="Times New Roman"/>
          <w:w w:val="100"/>
          <w:sz w:val="24"/>
          <w:szCs w:val="24"/>
        </w:rPr>
        <w:t>За результатами попереднього розгляду Заяви уповноважений структурний підрозділ митниці встановив відповідність/невідповідність умовам, визначеним Порядком визначення та обладнання центральних (регіональних) сортувальних станцій, а також відповідність/невідповідність відомостей, зазначених у Заяві та поданих заявником документах.</w:t>
      </w:r>
    </w:p>
    <w:p w:rsidR="00396A1B" w:rsidRPr="004B0228" w:rsidRDefault="00396A1B" w:rsidP="00F100FC">
      <w:pPr>
        <w:pStyle w:val="Ch6"/>
        <w:spacing w:before="113"/>
        <w:rPr>
          <w:rFonts w:ascii="Times New Roman" w:hAnsi="Times New Roman" w:cs="Times New Roman"/>
          <w:w w:val="100"/>
          <w:sz w:val="24"/>
          <w:szCs w:val="24"/>
        </w:rPr>
      </w:pPr>
      <w:r w:rsidRPr="004B0228">
        <w:rPr>
          <w:rStyle w:val="Bold"/>
          <w:rFonts w:ascii="Times New Roman" w:hAnsi="Times New Roman" w:cs="Times New Roman"/>
          <w:bCs/>
          <w:w w:val="100"/>
          <w:sz w:val="24"/>
          <w:szCs w:val="24"/>
        </w:rPr>
        <w:t xml:space="preserve">ІІ. </w:t>
      </w:r>
      <w:r w:rsidRPr="004B0228">
        <w:rPr>
          <w:rFonts w:ascii="Times New Roman" w:hAnsi="Times New Roman" w:cs="Times New Roman"/>
          <w:w w:val="100"/>
          <w:sz w:val="24"/>
          <w:szCs w:val="24"/>
        </w:rPr>
        <w:t>За результатами оцінки відповідності комісія встановила:</w:t>
      </w:r>
    </w:p>
    <w:tbl>
      <w:tblPr>
        <w:tblW w:w="0" w:type="auto"/>
        <w:tblInd w:w="68" w:type="dxa"/>
        <w:tblLayout w:type="fixed"/>
        <w:tblCellMar>
          <w:left w:w="0" w:type="dxa"/>
          <w:right w:w="0" w:type="dxa"/>
        </w:tblCellMar>
        <w:tblLook w:val="0000"/>
      </w:tblPr>
      <w:tblGrid>
        <w:gridCol w:w="5948"/>
        <w:gridCol w:w="3952"/>
      </w:tblGrid>
      <w:tr w:rsidR="00396A1B" w:rsidRPr="004B0228" w:rsidTr="00FA191A">
        <w:tblPrEx>
          <w:tblCellMar>
            <w:top w:w="0" w:type="dxa"/>
            <w:left w:w="0" w:type="dxa"/>
            <w:bottom w:w="0" w:type="dxa"/>
            <w:right w:w="0" w:type="dxa"/>
          </w:tblCellMar>
        </w:tblPrEx>
        <w:trPr>
          <w:trHeight w:val="60"/>
        </w:trPr>
        <w:tc>
          <w:tcPr>
            <w:tcW w:w="59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xml:space="preserve">1. Інформація щодо стану приміщень та території </w:t>
            </w:r>
          </w:p>
        </w:tc>
        <w:tc>
          <w:tcPr>
            <w:tcW w:w="39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відповідає</w:t>
            </w:r>
          </w:p>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не відповідає</w:t>
            </w:r>
          </w:p>
        </w:tc>
      </w:tr>
      <w:tr w:rsidR="00396A1B" w:rsidRPr="004B0228" w:rsidTr="00FA191A">
        <w:tblPrEx>
          <w:tblCellMar>
            <w:top w:w="0" w:type="dxa"/>
            <w:left w:w="0" w:type="dxa"/>
            <w:bottom w:w="0" w:type="dxa"/>
            <w:right w:w="0" w:type="dxa"/>
          </w:tblCellMar>
        </w:tblPrEx>
        <w:trPr>
          <w:trHeight w:val="60"/>
        </w:trPr>
        <w:tc>
          <w:tcPr>
            <w:tcW w:w="59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2. Інформація щодо системи відстеження МЕВ</w:t>
            </w:r>
          </w:p>
        </w:tc>
        <w:tc>
          <w:tcPr>
            <w:tcW w:w="39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відповідає</w:t>
            </w:r>
          </w:p>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не відповідає</w:t>
            </w:r>
          </w:p>
        </w:tc>
      </w:tr>
      <w:tr w:rsidR="00396A1B" w:rsidRPr="004B0228" w:rsidTr="00FA191A">
        <w:tblPrEx>
          <w:tblCellMar>
            <w:top w:w="0" w:type="dxa"/>
            <w:left w:w="0" w:type="dxa"/>
            <w:bottom w:w="0" w:type="dxa"/>
            <w:right w:w="0" w:type="dxa"/>
          </w:tblCellMar>
        </w:tblPrEx>
        <w:trPr>
          <w:trHeight w:val="60"/>
        </w:trPr>
        <w:tc>
          <w:tcPr>
            <w:tcW w:w="59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3. Інформація щодо електронної системи обліку</w:t>
            </w:r>
          </w:p>
        </w:tc>
        <w:tc>
          <w:tcPr>
            <w:tcW w:w="39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відповідає</w:t>
            </w:r>
          </w:p>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  не відповідає</w:t>
            </w:r>
          </w:p>
        </w:tc>
      </w:tr>
    </w:tbl>
    <w:p w:rsidR="00396A1B" w:rsidRPr="004B0228" w:rsidRDefault="00396A1B" w:rsidP="00F100FC">
      <w:pPr>
        <w:pStyle w:val="Ch6"/>
        <w:rPr>
          <w:rFonts w:ascii="Times New Roman" w:hAnsi="Times New Roman" w:cs="Times New Roman"/>
          <w:w w:val="100"/>
          <w:sz w:val="24"/>
          <w:szCs w:val="24"/>
        </w:rPr>
      </w:pPr>
    </w:p>
    <w:p w:rsidR="00396A1B" w:rsidRPr="004B0228" w:rsidRDefault="00396A1B" w:rsidP="00F100FC">
      <w:pPr>
        <w:pStyle w:val="Ch6"/>
        <w:rPr>
          <w:rFonts w:ascii="Times New Roman" w:hAnsi="Times New Roman" w:cs="Times New Roman"/>
          <w:w w:val="100"/>
          <w:sz w:val="24"/>
          <w:szCs w:val="24"/>
        </w:rPr>
      </w:pPr>
      <w:r w:rsidRPr="004B0228">
        <w:rPr>
          <w:rStyle w:val="Bold"/>
          <w:rFonts w:ascii="Times New Roman" w:hAnsi="Times New Roman" w:cs="Times New Roman"/>
          <w:bCs/>
          <w:w w:val="100"/>
          <w:sz w:val="24"/>
          <w:szCs w:val="24"/>
        </w:rPr>
        <w:t xml:space="preserve">ІІІ. </w:t>
      </w:r>
      <w:r w:rsidRPr="004B0228">
        <w:rPr>
          <w:rFonts w:ascii="Times New Roman" w:hAnsi="Times New Roman" w:cs="Times New Roman"/>
          <w:w w:val="100"/>
          <w:sz w:val="24"/>
          <w:szCs w:val="24"/>
        </w:rPr>
        <w:t>За результатами попереднього розгляду Заяви та оцінки відповідності _______________</w:t>
      </w:r>
    </w:p>
    <w:p w:rsidR="00396A1B" w:rsidRPr="004B0228" w:rsidRDefault="00396A1B" w:rsidP="00F100FC">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w:t>
      </w:r>
      <w:r w:rsidRPr="004B0228">
        <w:rPr>
          <w:rFonts w:ascii="Times New Roman" w:hAnsi="Times New Roman" w:cs="Times New Roman"/>
          <w:w w:val="100"/>
          <w:sz w:val="24"/>
          <w:szCs w:val="24"/>
        </w:rPr>
        <w:t xml:space="preserve"> надає висновок про можливість/неможливість</w:t>
      </w:r>
    </w:p>
    <w:p w:rsidR="00396A1B" w:rsidRPr="00F100FC" w:rsidRDefault="00396A1B" w:rsidP="00F100FC">
      <w:pPr>
        <w:pStyle w:val="StrokeCh6"/>
        <w:ind w:right="3670"/>
        <w:rPr>
          <w:rFonts w:ascii="Times New Roman" w:hAnsi="Times New Roman" w:cs="Times New Roman"/>
          <w:w w:val="100"/>
          <w:sz w:val="20"/>
          <w:szCs w:val="20"/>
        </w:rPr>
      </w:pPr>
      <w:r w:rsidRPr="00F100FC">
        <w:rPr>
          <w:rFonts w:ascii="Times New Roman" w:hAnsi="Times New Roman" w:cs="Times New Roman"/>
          <w:w w:val="100"/>
          <w:sz w:val="20"/>
          <w:szCs w:val="20"/>
        </w:rPr>
        <w:t>(найменування митниці)</w:t>
      </w:r>
    </w:p>
    <w:p w:rsidR="00396A1B" w:rsidRPr="004B0228" w:rsidRDefault="00396A1B" w:rsidP="00F100FC">
      <w:pPr>
        <w:pStyle w:val="Ch62"/>
        <w:spacing w:before="57"/>
        <w:rPr>
          <w:rFonts w:ascii="Times New Roman" w:hAnsi="Times New Roman" w:cs="Times New Roman"/>
          <w:w w:val="100"/>
          <w:sz w:val="24"/>
          <w:szCs w:val="24"/>
        </w:rPr>
      </w:pPr>
      <w:r w:rsidRPr="004B0228">
        <w:rPr>
          <w:rFonts w:ascii="Times New Roman" w:hAnsi="Times New Roman" w:cs="Times New Roman"/>
          <w:w w:val="100"/>
          <w:sz w:val="24"/>
          <w:szCs w:val="24"/>
        </w:rPr>
        <w:t>визначення ЦСС (РСС)</w:t>
      </w:r>
      <w:r>
        <w:rPr>
          <w:rFonts w:ascii="Times New Roman" w:hAnsi="Times New Roman" w:cs="Times New Roman"/>
          <w:w w:val="100"/>
          <w:sz w:val="24"/>
          <w:szCs w:val="24"/>
        </w:rPr>
        <w:t>_____________________________________________________________</w:t>
      </w:r>
      <w:r w:rsidRPr="004B0228">
        <w:rPr>
          <w:rFonts w:ascii="Times New Roman" w:hAnsi="Times New Roman" w:cs="Times New Roman"/>
          <w:w w:val="100"/>
          <w:sz w:val="24"/>
          <w:szCs w:val="24"/>
        </w:rPr>
        <w:t xml:space="preserve"> </w:t>
      </w:r>
    </w:p>
    <w:p w:rsidR="00396A1B" w:rsidRPr="00F100FC" w:rsidRDefault="00396A1B" w:rsidP="00F100FC">
      <w:pPr>
        <w:pStyle w:val="StrokeCh6"/>
        <w:ind w:left="1800"/>
        <w:rPr>
          <w:rFonts w:ascii="Times New Roman" w:hAnsi="Times New Roman" w:cs="Times New Roman"/>
          <w:w w:val="100"/>
          <w:sz w:val="20"/>
          <w:szCs w:val="20"/>
        </w:rPr>
      </w:pPr>
      <w:r w:rsidRPr="00F100FC">
        <w:rPr>
          <w:rFonts w:ascii="Times New Roman" w:hAnsi="Times New Roman" w:cs="Times New Roman"/>
          <w:w w:val="100"/>
          <w:sz w:val="20"/>
          <w:szCs w:val="20"/>
        </w:rPr>
        <w:t>(повне найменування підприємства (заявника), код згідно з ЄДРПОУ)</w:t>
      </w:r>
    </w:p>
    <w:tbl>
      <w:tblPr>
        <w:tblW w:w="0" w:type="auto"/>
        <w:tblInd w:w="8" w:type="dxa"/>
        <w:tblLayout w:type="fixed"/>
        <w:tblCellMar>
          <w:left w:w="0" w:type="dxa"/>
          <w:right w:w="0" w:type="dxa"/>
        </w:tblCellMar>
        <w:tblLook w:val="0000"/>
      </w:tblPr>
      <w:tblGrid>
        <w:gridCol w:w="2721"/>
        <w:gridCol w:w="2679"/>
        <w:gridCol w:w="680"/>
        <w:gridCol w:w="3640"/>
      </w:tblGrid>
      <w:tr w:rsidR="00396A1B" w:rsidRPr="004B0228" w:rsidTr="00F100FC">
        <w:tblPrEx>
          <w:tblCellMar>
            <w:top w:w="0" w:type="dxa"/>
            <w:left w:w="0" w:type="dxa"/>
            <w:bottom w:w="0" w:type="dxa"/>
            <w:right w:w="0" w:type="dxa"/>
          </w:tblCellMar>
        </w:tblPrEx>
        <w:trPr>
          <w:trHeight w:val="60"/>
        </w:trPr>
        <w:tc>
          <w:tcPr>
            <w:tcW w:w="2721"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tcPr>
          <w:p w:rsidR="00396A1B" w:rsidRPr="004B0228" w:rsidRDefault="00396A1B" w:rsidP="00980C8C">
            <w:pPr>
              <w:pStyle w:val="Ch62"/>
              <w:rPr>
                <w:rFonts w:ascii="Times New Roman" w:hAnsi="Times New Roman" w:cs="Times New Roman"/>
                <w:w w:val="100"/>
                <w:sz w:val="24"/>
                <w:szCs w:val="24"/>
              </w:rPr>
            </w:pPr>
            <w:r w:rsidRPr="004B0228">
              <w:rPr>
                <w:rFonts w:ascii="Times New Roman" w:hAnsi="Times New Roman" w:cs="Times New Roman"/>
                <w:w w:val="100"/>
                <w:sz w:val="24"/>
                <w:szCs w:val="24"/>
              </w:rPr>
              <w:t>Керівник митниці</w:t>
            </w:r>
          </w:p>
        </w:tc>
        <w:tc>
          <w:tcPr>
            <w:tcW w:w="2679"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tcPr>
          <w:p w:rsidR="00396A1B" w:rsidRPr="004B0228" w:rsidRDefault="00396A1B" w:rsidP="00980C8C">
            <w:pPr>
              <w:pStyle w:val="Ch62"/>
              <w:jc w:val="center"/>
              <w:rPr>
                <w:rFonts w:ascii="Times New Roman" w:hAnsi="Times New Roman" w:cs="Times New Roman"/>
                <w:w w:val="100"/>
                <w:sz w:val="24"/>
                <w:szCs w:val="24"/>
              </w:rPr>
            </w:pPr>
            <w:r w:rsidRPr="004B0228">
              <w:rPr>
                <w:rFonts w:ascii="Times New Roman" w:hAnsi="Times New Roman" w:cs="Times New Roman"/>
                <w:w w:val="100"/>
                <w:sz w:val="24"/>
                <w:szCs w:val="24"/>
              </w:rPr>
              <w:t>_____________________</w:t>
            </w:r>
          </w:p>
          <w:p w:rsidR="00396A1B" w:rsidRPr="00F100FC" w:rsidRDefault="00396A1B" w:rsidP="00980C8C">
            <w:pPr>
              <w:pStyle w:val="StrokeCh6"/>
              <w:rPr>
                <w:rFonts w:ascii="Times New Roman" w:hAnsi="Times New Roman" w:cs="Times New Roman"/>
                <w:w w:val="100"/>
                <w:sz w:val="20"/>
                <w:szCs w:val="20"/>
              </w:rPr>
            </w:pPr>
            <w:r w:rsidRPr="00F100FC">
              <w:rPr>
                <w:rFonts w:ascii="Times New Roman" w:hAnsi="Times New Roman" w:cs="Times New Roman"/>
                <w:w w:val="100"/>
                <w:sz w:val="20"/>
                <w:szCs w:val="20"/>
              </w:rPr>
              <w:t>(підпис)</w:t>
            </w:r>
          </w:p>
        </w:tc>
        <w:tc>
          <w:tcPr>
            <w:tcW w:w="680"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tcPr>
          <w:p w:rsidR="00396A1B" w:rsidRPr="004B0228" w:rsidRDefault="00396A1B" w:rsidP="00980C8C">
            <w:pPr>
              <w:pStyle w:val="a"/>
              <w:spacing w:line="240" w:lineRule="auto"/>
              <w:textAlignment w:val="auto"/>
              <w:rPr>
                <w:color w:val="auto"/>
                <w:lang w:val="uk-UA"/>
              </w:rPr>
            </w:pPr>
          </w:p>
        </w:tc>
        <w:tc>
          <w:tcPr>
            <w:tcW w:w="3640" w:type="dxa"/>
            <w:tcBorders>
              <w:top w:val="single" w:sz="6" w:space="0" w:color="000000"/>
              <w:left w:val="single" w:sz="6" w:space="0" w:color="000000"/>
              <w:bottom w:val="single" w:sz="6" w:space="0" w:color="000000"/>
              <w:right w:val="single" w:sz="6" w:space="0" w:color="000000"/>
            </w:tcBorders>
            <w:tcMar>
              <w:top w:w="68" w:type="dxa"/>
              <w:left w:w="0" w:type="dxa"/>
              <w:bottom w:w="68" w:type="dxa"/>
              <w:right w:w="0" w:type="dxa"/>
            </w:tcMar>
          </w:tcPr>
          <w:p w:rsidR="00396A1B" w:rsidRPr="004B0228" w:rsidRDefault="00396A1B" w:rsidP="00980C8C">
            <w:pPr>
              <w:pStyle w:val="Ch62"/>
              <w:jc w:val="center"/>
              <w:rPr>
                <w:rFonts w:ascii="Times New Roman" w:hAnsi="Times New Roman" w:cs="Times New Roman"/>
                <w:w w:val="100"/>
                <w:sz w:val="24"/>
                <w:szCs w:val="24"/>
              </w:rPr>
            </w:pPr>
            <w:r w:rsidRPr="004B0228">
              <w:rPr>
                <w:rFonts w:ascii="Times New Roman" w:hAnsi="Times New Roman" w:cs="Times New Roman"/>
                <w:w w:val="100"/>
                <w:sz w:val="24"/>
                <w:szCs w:val="24"/>
              </w:rPr>
              <w:t>______________________________</w:t>
            </w:r>
          </w:p>
          <w:p w:rsidR="00396A1B" w:rsidRPr="00F100FC" w:rsidRDefault="00396A1B" w:rsidP="00980C8C">
            <w:pPr>
              <w:pStyle w:val="StrokeCh6"/>
              <w:rPr>
                <w:rFonts w:ascii="Times New Roman" w:hAnsi="Times New Roman" w:cs="Times New Roman"/>
                <w:w w:val="100"/>
                <w:sz w:val="20"/>
                <w:szCs w:val="20"/>
              </w:rPr>
            </w:pPr>
            <w:r w:rsidRPr="00F100FC">
              <w:rPr>
                <w:rFonts w:ascii="Times New Roman" w:hAnsi="Times New Roman" w:cs="Times New Roman"/>
                <w:w w:val="100"/>
                <w:sz w:val="20"/>
                <w:szCs w:val="20"/>
              </w:rPr>
              <w:t>(власне ім’я, прізвище)</w:t>
            </w:r>
          </w:p>
        </w:tc>
      </w:tr>
    </w:tbl>
    <w:p w:rsidR="00396A1B" w:rsidRPr="004B0228" w:rsidRDefault="00396A1B" w:rsidP="00F100FC">
      <w:pPr>
        <w:pStyle w:val="Ch6"/>
        <w:rPr>
          <w:rFonts w:ascii="Times New Roman" w:hAnsi="Times New Roman" w:cs="Times New Roman"/>
          <w:w w:val="100"/>
          <w:sz w:val="24"/>
          <w:szCs w:val="24"/>
        </w:rPr>
      </w:pPr>
    </w:p>
    <w:p w:rsidR="00396A1B" w:rsidRPr="004B0228" w:rsidRDefault="00396A1B" w:rsidP="00F100FC">
      <w:pPr>
        <w:pStyle w:val="Ch62"/>
        <w:spacing w:before="57"/>
        <w:jc w:val="center"/>
        <w:rPr>
          <w:rFonts w:ascii="Times New Roman" w:hAnsi="Times New Roman" w:cs="Times New Roman"/>
          <w:w w:val="100"/>
          <w:sz w:val="24"/>
          <w:szCs w:val="24"/>
        </w:rPr>
      </w:pPr>
      <w:r w:rsidRPr="004B0228">
        <w:rPr>
          <w:rFonts w:ascii="Times New Roman" w:hAnsi="Times New Roman" w:cs="Times New Roman"/>
          <w:w w:val="100"/>
          <w:sz w:val="24"/>
          <w:szCs w:val="24"/>
        </w:rPr>
        <w:t>М. П.</w:t>
      </w:r>
    </w:p>
    <w:p w:rsidR="00396A1B" w:rsidRDefault="00396A1B" w:rsidP="00F100FC">
      <w:pPr>
        <w:pStyle w:val="Ch62"/>
        <w:spacing w:before="57"/>
        <w:jc w:val="center"/>
        <w:rPr>
          <w:rFonts w:ascii="Times New Roman" w:hAnsi="Times New Roman" w:cs="Times New Roman"/>
          <w:w w:val="100"/>
          <w:sz w:val="24"/>
          <w:szCs w:val="24"/>
        </w:rPr>
      </w:pPr>
      <w:r w:rsidRPr="004B0228">
        <w:rPr>
          <w:rFonts w:ascii="Times New Roman" w:hAnsi="Times New Roman" w:cs="Times New Roman"/>
          <w:w w:val="100"/>
          <w:sz w:val="24"/>
          <w:szCs w:val="24"/>
        </w:rPr>
        <w:t>(за наявності)</w:t>
      </w:r>
    </w:p>
    <w:p w:rsidR="00396A1B" w:rsidRPr="00F100FC" w:rsidRDefault="00396A1B" w:rsidP="00F100FC">
      <w:pPr>
        <w:pStyle w:val="Ch62"/>
        <w:spacing w:before="57"/>
        <w:jc w:val="left"/>
        <w:rPr>
          <w:rFonts w:ascii="Times New Roman" w:hAnsi="Times New Roman" w:cs="Times New Roman"/>
          <w:w w:val="100"/>
          <w:sz w:val="20"/>
          <w:szCs w:val="20"/>
        </w:rPr>
      </w:pPr>
      <w:r w:rsidRPr="00F100FC">
        <w:rPr>
          <w:rFonts w:ascii="Times New Roman" w:hAnsi="Times New Roman" w:cs="Times New Roman"/>
          <w:w w:val="100"/>
          <w:sz w:val="20"/>
          <w:szCs w:val="20"/>
        </w:rPr>
        <w:t>______________________</w:t>
      </w:r>
      <w:r w:rsidRPr="00F100FC">
        <w:rPr>
          <w:rFonts w:ascii="Times New Roman" w:hAnsi="Times New Roman" w:cs="Times New Roman"/>
          <w:w w:val="100"/>
          <w:sz w:val="20"/>
          <w:szCs w:val="20"/>
        </w:rPr>
        <w:br/>
        <w:t>Положення до заповнення окремих розділів цього висновку наведені в додатку.</w:t>
      </w:r>
    </w:p>
    <w:p w:rsidR="00396A1B" w:rsidRPr="004B0228" w:rsidRDefault="00396A1B" w:rsidP="00F100FC">
      <w:pPr>
        <w:pStyle w:val="Ch61"/>
        <w:ind w:left="4535"/>
        <w:rPr>
          <w:rFonts w:ascii="Times New Roman" w:hAnsi="Times New Roman" w:cs="Times New Roman"/>
          <w:w w:val="100"/>
          <w:sz w:val="24"/>
          <w:szCs w:val="24"/>
        </w:rPr>
      </w:pPr>
      <w:r w:rsidRPr="004B0228">
        <w:rPr>
          <w:rFonts w:ascii="Times New Roman" w:hAnsi="Times New Roman" w:cs="Times New Roman"/>
          <w:w w:val="100"/>
          <w:sz w:val="24"/>
          <w:szCs w:val="24"/>
        </w:rPr>
        <w:t>Додаток</w:t>
      </w:r>
      <w:r w:rsidRPr="004B0228">
        <w:rPr>
          <w:rFonts w:ascii="Times New Roman" w:hAnsi="Times New Roman" w:cs="Times New Roman"/>
          <w:w w:val="100"/>
          <w:sz w:val="24"/>
          <w:szCs w:val="24"/>
        </w:rPr>
        <w:br/>
        <w:t xml:space="preserve">до форми висновку про можливість </w:t>
      </w:r>
      <w:r w:rsidRPr="004B0228">
        <w:rPr>
          <w:rFonts w:ascii="Times New Roman" w:hAnsi="Times New Roman" w:cs="Times New Roman"/>
          <w:w w:val="100"/>
          <w:sz w:val="24"/>
          <w:szCs w:val="24"/>
        </w:rPr>
        <w:br/>
        <w:t xml:space="preserve">надання дозволу на визначення місця </w:t>
      </w:r>
      <w:r w:rsidRPr="004B0228">
        <w:rPr>
          <w:rFonts w:ascii="Times New Roman" w:hAnsi="Times New Roman" w:cs="Times New Roman"/>
          <w:w w:val="100"/>
          <w:sz w:val="24"/>
          <w:szCs w:val="24"/>
        </w:rPr>
        <w:br/>
        <w:t xml:space="preserve">розташування центральної (регіональної) </w:t>
      </w:r>
      <w:r w:rsidRPr="004B0228">
        <w:rPr>
          <w:rFonts w:ascii="Times New Roman" w:hAnsi="Times New Roman" w:cs="Times New Roman"/>
          <w:w w:val="100"/>
          <w:sz w:val="24"/>
          <w:szCs w:val="24"/>
        </w:rPr>
        <w:br/>
        <w:t>сортувальної станції</w:t>
      </w:r>
    </w:p>
    <w:p w:rsidR="00396A1B" w:rsidRPr="004B0228" w:rsidRDefault="00396A1B" w:rsidP="00F100FC">
      <w:pPr>
        <w:pStyle w:val="Ch60"/>
        <w:rPr>
          <w:rFonts w:ascii="Times New Roman" w:hAnsi="Times New Roman" w:cs="Times New Roman"/>
          <w:w w:val="100"/>
          <w:sz w:val="24"/>
          <w:szCs w:val="24"/>
        </w:rPr>
      </w:pPr>
      <w:r w:rsidRPr="004B0228">
        <w:rPr>
          <w:rFonts w:ascii="Times New Roman" w:hAnsi="Times New Roman" w:cs="Times New Roman"/>
          <w:w w:val="100"/>
          <w:sz w:val="24"/>
          <w:szCs w:val="24"/>
        </w:rPr>
        <w:t>ПОЯСНЕННЯ</w:t>
      </w:r>
      <w:r w:rsidRPr="004B0228">
        <w:rPr>
          <w:rFonts w:ascii="Times New Roman" w:hAnsi="Times New Roman" w:cs="Times New Roman"/>
          <w:w w:val="100"/>
          <w:sz w:val="24"/>
          <w:szCs w:val="24"/>
        </w:rPr>
        <w:br/>
        <w:t xml:space="preserve">до заповнення окремих розділів висновку про можливість </w:t>
      </w:r>
      <w:r w:rsidRPr="004B0228">
        <w:rPr>
          <w:rFonts w:ascii="Times New Roman" w:hAnsi="Times New Roman" w:cs="Times New Roman"/>
          <w:w w:val="100"/>
          <w:sz w:val="24"/>
          <w:szCs w:val="24"/>
        </w:rPr>
        <w:br/>
        <w:t>визначення центральної (регіональної) сортувальної станції</w:t>
      </w:r>
    </w:p>
    <w:p w:rsidR="00396A1B" w:rsidRPr="004B0228" w:rsidRDefault="00396A1B" w:rsidP="00F100FC">
      <w:pPr>
        <w:pStyle w:val="Ch62"/>
        <w:spacing w:before="57" w:after="57"/>
        <w:jc w:val="center"/>
        <w:rPr>
          <w:rStyle w:val="Bold"/>
          <w:rFonts w:ascii="Times New Roman" w:hAnsi="Times New Roman" w:cs="Times New Roman"/>
          <w:bCs/>
          <w:w w:val="100"/>
          <w:sz w:val="24"/>
          <w:szCs w:val="24"/>
        </w:rPr>
      </w:pPr>
      <w:r w:rsidRPr="004B0228">
        <w:rPr>
          <w:rStyle w:val="Bold"/>
          <w:rFonts w:ascii="Times New Roman" w:hAnsi="Times New Roman" w:cs="Times New Roman"/>
          <w:bCs/>
          <w:w w:val="100"/>
          <w:sz w:val="24"/>
          <w:szCs w:val="24"/>
        </w:rPr>
        <w:t>Розділ ІІ</w:t>
      </w:r>
    </w:p>
    <w:p w:rsidR="00396A1B" w:rsidRPr="004B0228" w:rsidRDefault="00396A1B" w:rsidP="00F100FC">
      <w:pPr>
        <w:pStyle w:val="Ch6"/>
        <w:rPr>
          <w:rFonts w:ascii="Times New Roman" w:hAnsi="Times New Roman" w:cs="Times New Roman"/>
          <w:w w:val="100"/>
          <w:sz w:val="24"/>
          <w:szCs w:val="24"/>
        </w:rPr>
      </w:pPr>
      <w:r w:rsidRPr="004B0228">
        <w:rPr>
          <w:rFonts w:ascii="Times New Roman" w:hAnsi="Times New Roman" w:cs="Times New Roman"/>
          <w:w w:val="100"/>
          <w:sz w:val="24"/>
          <w:szCs w:val="24"/>
        </w:rPr>
        <w:t>Навпроти кожної графи цього розділу робиться позначка про відповідність («відповідає» або «не відповідає») заявника параметрам, зазначеним у графах за результатами оцінки відповідності.</w:t>
      </w:r>
    </w:p>
    <w:p w:rsidR="00396A1B" w:rsidRPr="004B0228" w:rsidRDefault="00396A1B" w:rsidP="00F100FC">
      <w:pPr>
        <w:pStyle w:val="Ch6"/>
        <w:spacing w:before="57"/>
        <w:rPr>
          <w:rFonts w:ascii="Times New Roman" w:hAnsi="Times New Roman" w:cs="Times New Roman"/>
          <w:w w:val="100"/>
          <w:sz w:val="24"/>
          <w:szCs w:val="24"/>
        </w:rPr>
      </w:pPr>
      <w:r w:rsidRPr="004B0228">
        <w:rPr>
          <w:rFonts w:ascii="Times New Roman" w:hAnsi="Times New Roman" w:cs="Times New Roman"/>
          <w:w w:val="100"/>
          <w:sz w:val="24"/>
          <w:szCs w:val="24"/>
        </w:rPr>
        <w:t>1. Інформація щодо стану приміщень та території</w:t>
      </w:r>
    </w:p>
    <w:p w:rsidR="00396A1B" w:rsidRPr="004B0228" w:rsidRDefault="00396A1B" w:rsidP="00F100FC">
      <w:pPr>
        <w:pStyle w:val="Ch6"/>
        <w:rPr>
          <w:rFonts w:ascii="Times New Roman" w:hAnsi="Times New Roman" w:cs="Times New Roman"/>
          <w:w w:val="100"/>
          <w:sz w:val="24"/>
          <w:szCs w:val="24"/>
        </w:rPr>
      </w:pPr>
      <w:r w:rsidRPr="004B0228">
        <w:rPr>
          <w:rFonts w:ascii="Times New Roman" w:hAnsi="Times New Roman" w:cs="Times New Roman"/>
          <w:w w:val="100"/>
          <w:sz w:val="24"/>
          <w:szCs w:val="24"/>
        </w:rPr>
        <w:t>У цій графі зазначаються реквізити Акта огляду. Також має бути зазначено про наявність або відсутність умов для розміщення на території ЦСС (РСС) ПМО. У разі коли планується розміщення ПМО на території РСС (ЦСС), коротко зазначається інформація щодо наявності приміщень (як службових, так і побутових), їх характеристика, наявність необхідного обладнання, кількість посадових осіб митного органу, які можливо розмістити в службових приміщеннях, які надаються заявником у користування митниці.</w:t>
      </w:r>
    </w:p>
    <w:p w:rsidR="00396A1B" w:rsidRPr="004B0228" w:rsidRDefault="00396A1B" w:rsidP="00F100FC">
      <w:pPr>
        <w:pStyle w:val="Ch6"/>
        <w:spacing w:before="57"/>
        <w:rPr>
          <w:rFonts w:ascii="Times New Roman" w:hAnsi="Times New Roman" w:cs="Times New Roman"/>
          <w:w w:val="100"/>
          <w:sz w:val="24"/>
          <w:szCs w:val="24"/>
        </w:rPr>
      </w:pPr>
      <w:r w:rsidRPr="004B0228">
        <w:rPr>
          <w:rFonts w:ascii="Times New Roman" w:hAnsi="Times New Roman" w:cs="Times New Roman"/>
          <w:w w:val="100"/>
          <w:sz w:val="24"/>
          <w:szCs w:val="24"/>
        </w:rPr>
        <w:t>2. Інформація щодо системи відстеження МЕВ</w:t>
      </w:r>
    </w:p>
    <w:p w:rsidR="00396A1B" w:rsidRPr="004B0228" w:rsidRDefault="00396A1B" w:rsidP="00F100FC">
      <w:pPr>
        <w:pStyle w:val="Ch6"/>
        <w:rPr>
          <w:rFonts w:ascii="Times New Roman" w:hAnsi="Times New Roman" w:cs="Times New Roman"/>
          <w:w w:val="100"/>
          <w:sz w:val="24"/>
          <w:szCs w:val="24"/>
        </w:rPr>
      </w:pPr>
      <w:r w:rsidRPr="004B0228">
        <w:rPr>
          <w:rFonts w:ascii="Times New Roman" w:hAnsi="Times New Roman" w:cs="Times New Roman"/>
          <w:w w:val="100"/>
          <w:sz w:val="24"/>
          <w:szCs w:val="24"/>
        </w:rPr>
        <w:t>У цій графі зазначається, як відбуватиметься відстеження МЕВ, які інформаційні продукти при цьому використовуються, як відбуватиметься взаємодія підприємства (заявника) з громадянином щодо надходження до ЦСС (РСС), необхідності проведення митницею додаткових форм митного контролю (за наявності) або відправлення МЕВ оператором.</w:t>
      </w:r>
    </w:p>
    <w:p w:rsidR="00396A1B" w:rsidRPr="004B0228" w:rsidRDefault="00396A1B" w:rsidP="00F100FC">
      <w:pPr>
        <w:pStyle w:val="Ch6"/>
        <w:spacing w:before="57"/>
        <w:rPr>
          <w:rFonts w:ascii="Times New Roman" w:hAnsi="Times New Roman" w:cs="Times New Roman"/>
          <w:w w:val="100"/>
          <w:sz w:val="24"/>
          <w:szCs w:val="24"/>
        </w:rPr>
      </w:pPr>
      <w:r w:rsidRPr="004B0228">
        <w:rPr>
          <w:rFonts w:ascii="Times New Roman" w:hAnsi="Times New Roman" w:cs="Times New Roman"/>
          <w:w w:val="100"/>
          <w:sz w:val="24"/>
          <w:szCs w:val="24"/>
        </w:rPr>
        <w:t>3. Інформація щодо електронної системи обліку</w:t>
      </w:r>
    </w:p>
    <w:p w:rsidR="00396A1B" w:rsidRPr="004B0228" w:rsidRDefault="00396A1B" w:rsidP="00F100FC">
      <w:pPr>
        <w:pStyle w:val="Ch6"/>
        <w:rPr>
          <w:rFonts w:ascii="Times New Roman" w:hAnsi="Times New Roman" w:cs="Times New Roman"/>
          <w:w w:val="100"/>
          <w:sz w:val="24"/>
          <w:szCs w:val="24"/>
        </w:rPr>
      </w:pPr>
      <w:r w:rsidRPr="004B0228">
        <w:rPr>
          <w:rFonts w:ascii="Times New Roman" w:hAnsi="Times New Roman" w:cs="Times New Roman"/>
          <w:w w:val="100"/>
          <w:sz w:val="24"/>
          <w:szCs w:val="24"/>
        </w:rPr>
        <w:t>У цій графі зазначаються відомості щодо наявності електронної системи обліку та зберігання, інформаційних продуктів, за допомогою яких функціонує ця система обліку, основні дані, які використовуватимуться заявником при обліку, можливість передачі інформації із системи до митниці або формування відповідних звітів.</w:t>
      </w:r>
    </w:p>
    <w:p w:rsidR="00396A1B" w:rsidRPr="004B0228" w:rsidRDefault="00396A1B" w:rsidP="00F100FC">
      <w:pPr>
        <w:pStyle w:val="Ch62"/>
        <w:spacing w:before="113" w:after="57"/>
        <w:jc w:val="center"/>
        <w:rPr>
          <w:rFonts w:ascii="Times New Roman" w:hAnsi="Times New Roman" w:cs="Times New Roman"/>
          <w:b/>
          <w:bCs/>
          <w:w w:val="100"/>
          <w:sz w:val="24"/>
          <w:szCs w:val="24"/>
        </w:rPr>
      </w:pPr>
      <w:r w:rsidRPr="004B0228">
        <w:rPr>
          <w:rFonts w:ascii="Times New Roman" w:hAnsi="Times New Roman" w:cs="Times New Roman"/>
          <w:b/>
          <w:bCs/>
          <w:w w:val="100"/>
          <w:sz w:val="24"/>
          <w:szCs w:val="24"/>
        </w:rPr>
        <w:t>Розділ ІІІ</w:t>
      </w:r>
    </w:p>
    <w:p w:rsidR="00396A1B" w:rsidRPr="00DE0822" w:rsidRDefault="00396A1B" w:rsidP="00F100FC">
      <w:pPr>
        <w:pStyle w:val="Ch6"/>
        <w:rPr>
          <w:rFonts w:ascii="Times New Roman" w:hAnsi="Times New Roman" w:cs="Times New Roman"/>
          <w:w w:val="100"/>
          <w:sz w:val="24"/>
          <w:szCs w:val="24"/>
        </w:rPr>
      </w:pPr>
      <w:r w:rsidRPr="00DE0822">
        <w:rPr>
          <w:rFonts w:ascii="Times New Roman" w:hAnsi="Times New Roman" w:cs="Times New Roman"/>
          <w:w w:val="100"/>
          <w:sz w:val="24"/>
          <w:szCs w:val="24"/>
        </w:rPr>
        <w:t>У цьому розділі робиться відмітка про можливість або неможливість визначення ЦСС (РСС).</w:t>
      </w:r>
    </w:p>
    <w:p w:rsidR="00396A1B" w:rsidRPr="00DE0822" w:rsidRDefault="00396A1B" w:rsidP="00DE0822">
      <w:pPr>
        <w:pStyle w:val="Ch6"/>
        <w:rPr>
          <w:sz w:val="24"/>
          <w:szCs w:val="24"/>
        </w:rPr>
      </w:pPr>
      <w:r w:rsidRPr="00DE0822">
        <w:rPr>
          <w:w w:val="100"/>
          <w:sz w:val="24"/>
          <w:szCs w:val="24"/>
        </w:rPr>
        <w:t>У разі прийняття митницею висновку про неможливість визначення ЦСС (РСС) нижче наводяться обґрунтовані причини такої неможливості із зазначенням абзаців і пунктів розділу ІІ Порядку визначення та обладнання центральних (регіональних) сортувальних станцій (абзаци, пункти, розділи), яким не відповідає підприємство (заявник) за результатами проведеної оцінки відповідності.</w:t>
      </w:r>
    </w:p>
    <w:sectPr w:rsidR="00396A1B" w:rsidRPr="00DE0822" w:rsidSect="00F100FC">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0FC"/>
    <w:rsid w:val="00026CA0"/>
    <w:rsid w:val="000F2E23"/>
    <w:rsid w:val="000F79AF"/>
    <w:rsid w:val="00167958"/>
    <w:rsid w:val="001A759D"/>
    <w:rsid w:val="001C79D5"/>
    <w:rsid w:val="001D2BC0"/>
    <w:rsid w:val="00224126"/>
    <w:rsid w:val="00254C12"/>
    <w:rsid w:val="00292AD1"/>
    <w:rsid w:val="00396A1B"/>
    <w:rsid w:val="003B5C21"/>
    <w:rsid w:val="003D1AB9"/>
    <w:rsid w:val="00400C9A"/>
    <w:rsid w:val="004B0228"/>
    <w:rsid w:val="004E4797"/>
    <w:rsid w:val="005D7C1B"/>
    <w:rsid w:val="006359A9"/>
    <w:rsid w:val="006A344A"/>
    <w:rsid w:val="0072381E"/>
    <w:rsid w:val="007D2FDE"/>
    <w:rsid w:val="0083634F"/>
    <w:rsid w:val="00855FA5"/>
    <w:rsid w:val="00872DBB"/>
    <w:rsid w:val="008C1EE4"/>
    <w:rsid w:val="00937274"/>
    <w:rsid w:val="00974276"/>
    <w:rsid w:val="00980C8C"/>
    <w:rsid w:val="009C2FFF"/>
    <w:rsid w:val="00A43E6F"/>
    <w:rsid w:val="00A868BA"/>
    <w:rsid w:val="00B327DB"/>
    <w:rsid w:val="00BD7521"/>
    <w:rsid w:val="00CA29B3"/>
    <w:rsid w:val="00CC666A"/>
    <w:rsid w:val="00DB56D8"/>
    <w:rsid w:val="00DE0822"/>
    <w:rsid w:val="00E12E9D"/>
    <w:rsid w:val="00EB7F93"/>
    <w:rsid w:val="00EC7383"/>
    <w:rsid w:val="00F100FC"/>
    <w:rsid w:val="00F75795"/>
    <w:rsid w:val="00FA19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FC"/>
    <w:pPr>
      <w:widowControl w:val="0"/>
      <w:suppressAutoHyphens/>
      <w:autoSpaceDE w:val="0"/>
      <w:autoSpaceDN w:val="0"/>
      <w:adjustRightInd w:val="0"/>
      <w:spacing w:after="200" w:line="264" w:lineRule="auto"/>
      <w:textAlignment w:val="center"/>
    </w:pPr>
    <w:rPr>
      <w:rFonts w:ascii="Calibri" w:hAnsi="Calibri" w:cs="Calibri"/>
      <w:color w:val="00000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емає стилю абзацу]"/>
    <w:uiPriority w:val="99"/>
    <w:rsid w:val="00F100F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Normal"/>
    <w:uiPriority w:val="99"/>
    <w:rsid w:val="00F100FC"/>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Normal"/>
    <w:uiPriority w:val="99"/>
    <w:rsid w:val="00F100FC"/>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Додаток № (Ch_6 Міністерства)"/>
    <w:basedOn w:val="Normal"/>
    <w:uiPriority w:val="99"/>
    <w:rsid w:val="00F100FC"/>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Ch62">
    <w:name w:val="Основной текст (без абзаца) (Ch_6 Міністерства)"/>
    <w:basedOn w:val="Ch6"/>
    <w:uiPriority w:val="99"/>
    <w:rsid w:val="00F100F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F100F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 (SNOSKI)"/>
    <w:basedOn w:val="Normal"/>
    <w:uiPriority w:val="99"/>
    <w:rsid w:val="00F100FC"/>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character" w:customStyle="1" w:styleId="Bold">
    <w:name w:val="Bold"/>
    <w:uiPriority w:val="99"/>
    <w:rsid w:val="00F100FC"/>
    <w:rPr>
      <w:b/>
      <w:u w:val="none"/>
      <w:vertAlign w:val="baseline"/>
    </w:rPr>
  </w:style>
  <w:style w:type="character" w:customStyle="1" w:styleId="55">
    <w:name w:val="Зажато55 (Вспомогательные)"/>
    <w:uiPriority w:val="99"/>
    <w:rsid w:val="00F100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590</Words>
  <Characters>3367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2</cp:revision>
  <dcterms:created xsi:type="dcterms:W3CDTF">2023-01-24T14:10:00Z</dcterms:created>
  <dcterms:modified xsi:type="dcterms:W3CDTF">2023-01-24T14:56:00Z</dcterms:modified>
</cp:coreProperties>
</file>