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FF" w:rsidRPr="00552EFF" w:rsidRDefault="00552EFF" w:rsidP="00552EFF">
      <w:pPr>
        <w:pStyle w:val="a3"/>
        <w:jc w:val="both"/>
        <w:rPr>
          <w:rFonts w:ascii="Times New Roman" w:hAnsi="Times New Roman"/>
          <w:b/>
          <w:lang w:bidi="ar"/>
        </w:rPr>
      </w:pPr>
      <w:bookmarkStart w:id="0" w:name="_GoBack"/>
      <w:bookmarkEnd w:id="0"/>
      <w:r w:rsidRPr="00552EFF">
        <w:rPr>
          <w:rFonts w:ascii="Times New Roman" w:hAnsi="Times New Roman"/>
          <w:b/>
          <w:lang w:bidi="ar"/>
        </w:rPr>
        <w:t>18.0</w:t>
      </w:r>
      <w:r>
        <w:rPr>
          <w:rFonts w:ascii="Times New Roman" w:hAnsi="Times New Roman"/>
          <w:b/>
          <w:lang w:val="uk-UA" w:bidi="ar"/>
        </w:rPr>
        <w:t xml:space="preserve"> </w:t>
      </w:r>
      <w:r w:rsidRPr="00552EFF">
        <w:rPr>
          <w:rFonts w:ascii="Times New Roman" w:hAnsi="Times New Roman"/>
          <w:b/>
          <w:lang w:bidi="ar"/>
        </w:rPr>
        <w:t>Інформація про пр</w:t>
      </w:r>
      <w:r>
        <w:rPr>
          <w:rFonts w:ascii="Times New Roman" w:hAnsi="Times New Roman"/>
          <w:b/>
          <w:lang w:bidi="ar"/>
        </w:rPr>
        <w:t>ацюючі та непрацюючі експозиції</w:t>
      </w:r>
    </w:p>
    <w:tbl>
      <w:tblPr>
        <w:tblW w:w="23248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850"/>
        <w:gridCol w:w="567"/>
        <w:gridCol w:w="425"/>
        <w:gridCol w:w="567"/>
        <w:gridCol w:w="567"/>
        <w:gridCol w:w="426"/>
        <w:gridCol w:w="521"/>
        <w:gridCol w:w="553"/>
        <w:gridCol w:w="386"/>
        <w:gridCol w:w="640"/>
        <w:gridCol w:w="655"/>
        <w:gridCol w:w="655"/>
        <w:gridCol w:w="655"/>
        <w:gridCol w:w="655"/>
        <w:gridCol w:w="655"/>
        <w:gridCol w:w="725"/>
        <w:gridCol w:w="553"/>
        <w:gridCol w:w="410"/>
        <w:gridCol w:w="533"/>
        <w:gridCol w:w="509"/>
        <w:gridCol w:w="386"/>
        <w:gridCol w:w="386"/>
        <w:gridCol w:w="538"/>
        <w:gridCol w:w="553"/>
        <w:gridCol w:w="386"/>
        <w:gridCol w:w="640"/>
        <w:gridCol w:w="655"/>
        <w:gridCol w:w="655"/>
        <w:gridCol w:w="655"/>
        <w:gridCol w:w="655"/>
        <w:gridCol w:w="655"/>
        <w:gridCol w:w="725"/>
        <w:gridCol w:w="553"/>
        <w:gridCol w:w="533"/>
        <w:gridCol w:w="595"/>
        <w:gridCol w:w="595"/>
        <w:gridCol w:w="513"/>
        <w:gridCol w:w="644"/>
      </w:tblGrid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10090" w:type="dxa"/>
            <w:gridSpan w:val="18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Валова балансова сума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/ номінальна сума</w:t>
            </w:r>
          </w:p>
        </w:tc>
        <w:tc>
          <w:tcPr>
            <w:tcW w:w="7975" w:type="dxa"/>
            <w:gridSpan w:val="14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Накопичене зменшення корисності, накопичені від’ємні зміни у справедливій вартості через кредитний ризик та резерви</w:t>
            </w:r>
          </w:p>
        </w:tc>
        <w:tc>
          <w:tcPr>
            <w:tcW w:w="2347" w:type="dxa"/>
            <w:gridSpan w:val="4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Максимальна сума забезпечення або гарантії, яка може бути врахована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2.119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2634" w:type="dxa"/>
            <w:gridSpan w:val="5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Працюючі</w:t>
            </w:r>
          </w:p>
        </w:tc>
        <w:tc>
          <w:tcPr>
            <w:tcW w:w="7031" w:type="dxa"/>
            <w:gridSpan w:val="12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Непрацюючі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1477" w:type="dxa"/>
            <w:gridSpan w:val="3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Працюючі експозиції -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Накопичені зменшення корисності та резерви</w:t>
            </w:r>
          </w:p>
        </w:tc>
        <w:tc>
          <w:tcPr>
            <w:tcW w:w="6112" w:type="dxa"/>
            <w:gridSpan w:val="10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Непрацюючі експозиції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— накопичене зменшення корисності, накопичені від’ємні зміни у справедливій вартості через кредитний ризик та резерви</w:t>
            </w:r>
          </w:p>
        </w:tc>
        <w:tc>
          <w:tcPr>
            <w:tcW w:w="2347" w:type="dxa"/>
            <w:gridSpan w:val="4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Отримане забезпечення та отримані фінансові гарантії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67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567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Простроченості немає або простроченість &lt;= 30 днів</w:t>
            </w:r>
          </w:p>
        </w:tc>
        <w:tc>
          <w:tcPr>
            <w:tcW w:w="426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30 днів &lt;= 90 днів</w:t>
            </w:r>
          </w:p>
        </w:tc>
        <w:tc>
          <w:tcPr>
            <w:tcW w:w="521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Інструменти без значного збільшення кредитного ризику з моменту первісного визнання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1)</w:t>
            </w:r>
          </w:p>
        </w:tc>
        <w:tc>
          <w:tcPr>
            <w:tcW w:w="553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Інструменти зі значним збільшенням кредитного ризику з моменту первісного визнання, але не кредитно знецінені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2)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640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Мала ймовірність виплати, без прострочення або з простроченням &lt;= 90 днів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90 днів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&lt;= 180 днів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180 днів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&lt;= 1 рік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1 рік &lt;= 2 роки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2 роки &lt;= 5 років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5 років &lt;= 7 років</w:t>
            </w:r>
          </w:p>
        </w:tc>
        <w:tc>
          <w:tcPr>
            <w:tcW w:w="725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 xml:space="preserve">Простроченість 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7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років</w:t>
            </w:r>
          </w:p>
        </w:tc>
        <w:tc>
          <w:tcPr>
            <w:tcW w:w="553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Інструменти зі значним збільшенням кредитного ризику з моменту первісного визнання, але не кредитно знецінені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2)</w:t>
            </w:r>
          </w:p>
        </w:tc>
        <w:tc>
          <w:tcPr>
            <w:tcW w:w="410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 дефолтні</w:t>
            </w:r>
          </w:p>
        </w:tc>
        <w:tc>
          <w:tcPr>
            <w:tcW w:w="533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 Кредитно знецінені інструменти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3)</w:t>
            </w:r>
          </w:p>
        </w:tc>
        <w:tc>
          <w:tcPr>
            <w:tcW w:w="509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 зі зменшеною корисністю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386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val="uk-UA" w:bidi="ar"/>
              </w:rPr>
            </w:pPr>
          </w:p>
        </w:tc>
        <w:tc>
          <w:tcPr>
            <w:tcW w:w="640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Мала ймовірність виплати, без прострочення або з простроченням &lt;= 90 днів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90 днів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&lt;= 180 днів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180 днів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&lt;= 1 рік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1 рік &lt; = 2 роки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2 роки &lt; = 5 років</w:t>
            </w:r>
          </w:p>
        </w:tc>
        <w:tc>
          <w:tcPr>
            <w:tcW w:w="655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Простроченість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="009B02DA" w:rsidRPr="009B02DA">
              <w:rPr>
                <w:rFonts w:ascii="Times New Roman" w:hAnsi="Times New Roman"/>
                <w:b/>
                <w:sz w:val="10"/>
                <w:lang w:val="uk-UA"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5 років &lt;= 7 років</w:t>
            </w:r>
          </w:p>
        </w:tc>
        <w:tc>
          <w:tcPr>
            <w:tcW w:w="725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 xml:space="preserve">Простроченість 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&gt; 7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років</w:t>
            </w:r>
          </w:p>
        </w:tc>
        <w:tc>
          <w:tcPr>
            <w:tcW w:w="553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Інструменти зі значним збільшенням кредитного ризику з моменту первісного визнання, але не кредитно знецінені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2)</w:t>
            </w:r>
          </w:p>
        </w:tc>
        <w:tc>
          <w:tcPr>
            <w:tcW w:w="533" w:type="dxa"/>
            <w:vMerge w:val="restart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</w:t>
            </w:r>
            <w:r w:rsidR="009B02DA" w:rsidRPr="009B02DA">
              <w:rPr>
                <w:rFonts w:ascii="Times New Roman" w:hAnsi="Times New Roman"/>
                <w:b/>
                <w:sz w:val="10"/>
                <w:lang w:bidi="ar"/>
              </w:rPr>
              <w:br/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Кредитно знецінені інструменти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3)</w:t>
            </w:r>
          </w:p>
        </w:tc>
        <w:tc>
          <w:tcPr>
            <w:tcW w:w="595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Забезпечення, отримане під працюючі експозиції</w:t>
            </w:r>
          </w:p>
        </w:tc>
        <w:tc>
          <w:tcPr>
            <w:tcW w:w="595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Забезпечення, отримане під непрацюючі експозиції</w:t>
            </w:r>
          </w:p>
        </w:tc>
        <w:tc>
          <w:tcPr>
            <w:tcW w:w="513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Фінансові гарантії, отримані від працюючих експозицій</w:t>
            </w:r>
          </w:p>
        </w:tc>
        <w:tc>
          <w:tcPr>
            <w:tcW w:w="644" w:type="dxa"/>
            <w:vMerge w:val="restart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Фінансові гарантії, отримані від непрацюючих експозицій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67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426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21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5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72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5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410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3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09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 Інструменти без значного збільшення кредитного ризику з моменту первісного визнання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1)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у тому числі: Інструменти зі значним збільшенням кредитного ризику з моменту первісного визнання, але не кредитно знецінені (стадія</w:t>
            </w:r>
            <w:r w:rsidRPr="009B02DA">
              <w:rPr>
                <w:rFonts w:ascii="Times New Roman" w:hAnsi="Times New Roman"/>
                <w:b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2)</w:t>
            </w:r>
          </w:p>
        </w:tc>
        <w:tc>
          <w:tcPr>
            <w:tcW w:w="386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40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5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72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5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3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9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95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513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644" w:type="dxa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010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020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030</w:t>
            </w:r>
          </w:p>
        </w:tc>
        <w:tc>
          <w:tcPr>
            <w:tcW w:w="42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055</w:t>
            </w:r>
          </w:p>
        </w:tc>
        <w:tc>
          <w:tcPr>
            <w:tcW w:w="521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056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057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060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070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080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090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101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102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106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107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109</w:t>
            </w:r>
          </w:p>
        </w:tc>
        <w:tc>
          <w:tcPr>
            <w:tcW w:w="41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110</w:t>
            </w: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121</w:t>
            </w:r>
          </w:p>
        </w:tc>
        <w:tc>
          <w:tcPr>
            <w:tcW w:w="509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122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130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140</w:t>
            </w:r>
          </w:p>
        </w:tc>
        <w:tc>
          <w:tcPr>
            <w:tcW w:w="538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141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142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150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160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170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180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191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192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196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197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950</w:t>
            </w: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951</w:t>
            </w: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201</w:t>
            </w: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200</w:t>
            </w:r>
          </w:p>
        </w:tc>
        <w:tc>
          <w:tcPr>
            <w:tcW w:w="51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205</w:t>
            </w:r>
          </w:p>
        </w:tc>
        <w:tc>
          <w:tcPr>
            <w:tcW w:w="644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210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i/>
                <w:sz w:val="10"/>
                <w:lang w:bidi="ar"/>
              </w:rPr>
              <w:t>МСФЗ, сумісні з референтними національними ЗПБО</w:t>
            </w:r>
          </w:p>
        </w:tc>
        <w:tc>
          <w:tcPr>
            <w:tcW w:w="4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1.34,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2.118, 221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42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21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9.5.5.5; МСФЗ 7.35M(a);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237(d)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9.5.5.3; МСФЗ 7.35M(b)(i);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237(c)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9.5.5.3; МСФЗ 7.35M(b)(i);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237(c)</w:t>
            </w:r>
          </w:p>
        </w:tc>
        <w:tc>
          <w:tcPr>
            <w:tcW w:w="41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стаття 178;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2.237(b)</w:t>
            </w: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9.5.5.1; МСФЗ 9. Додаток A;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2.237(a)</w:t>
            </w:r>
          </w:p>
        </w:tc>
        <w:tc>
          <w:tcPr>
            <w:tcW w:w="509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38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9.5.5.5; МСФЗ 7.35M(a);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237(d)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9.5.5.3; МСФЗ 7.35M(b)(i);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237(c)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9.5.5.3; МСФЗ 7.35M(b)(i);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237(c)</w:t>
            </w: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9.5.5.1; МСФЗ 9. Додаток A;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2.237(a)</w:t>
            </w: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1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644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1419" w:type="dxa"/>
            <w:gridSpan w:val="2"/>
            <w:vMerge/>
          </w:tcPr>
          <w:p w:rsidR="00552EFF" w:rsidRPr="009B02DA" w:rsidRDefault="00552EFF" w:rsidP="00552EFF">
            <w:pPr>
              <w:jc w:val="center"/>
              <w:rPr>
                <w:rFonts w:ascii="Times New Roman" w:hAnsi="Times New Roman"/>
                <w:sz w:val="10"/>
                <w:lang w:bidi="ar"/>
              </w:rPr>
            </w:pPr>
          </w:p>
        </w:tc>
        <w:tc>
          <w:tcPr>
            <w:tcW w:w="85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i/>
                <w:sz w:val="10"/>
                <w:lang w:bidi="ar"/>
              </w:rPr>
              <w:t>Референтні національні ЗПБО на основі деривативів банківського портфеля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b/>
                <w:i/>
                <w:sz w:val="10"/>
                <w:lang w:val="uk-UA" w:bidi="ar"/>
              </w:rPr>
            </w:pPr>
          </w:p>
        </w:tc>
        <w:tc>
          <w:tcPr>
            <w:tcW w:w="4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1.34,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2.118, 221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567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42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</w:p>
        </w:tc>
        <w:tc>
          <w:tcPr>
            <w:tcW w:w="521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2. 213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216, 223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239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2. 222, 235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236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стаття 178;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2.237(b)</w:t>
            </w: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Стаття 4(95) РВК;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2.237(a)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538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2. 238</w:t>
            </w:r>
          </w:p>
        </w:tc>
        <w:tc>
          <w:tcPr>
            <w:tcW w:w="640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65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72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2. 236, 238</w:t>
            </w:r>
          </w:p>
        </w:tc>
        <w:tc>
          <w:tcPr>
            <w:tcW w:w="55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95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513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  <w:tc>
          <w:tcPr>
            <w:tcW w:w="644" w:type="dxa"/>
          </w:tcPr>
          <w:p w:rsidR="00552EFF" w:rsidRPr="009B02DA" w:rsidRDefault="00552EFF" w:rsidP="00552EFF">
            <w:pPr>
              <w:pStyle w:val="a3"/>
              <w:jc w:val="center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2. 239</w:t>
            </w: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005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Касові залишки в центральних банках та інші депозити до запитання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Стаття 13(2) ДБОБ;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2.2, 3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2.2, 3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010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Боргові цінні папери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020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030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040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050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060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070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b/>
                <w:sz w:val="10"/>
                <w:lang w:bidi="ar"/>
              </w:rPr>
              <w:t>Позики та аванси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080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090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100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110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120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130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Малі та середні підприємства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140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комерційним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150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160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житловим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lastRenderedPageBreak/>
              <w:t>170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Споживчий кредит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БОРГОВІ ІНСТРУМЕНТИ, ЯКІ ОЦІНЕНО ЗА СОБІВАРТІСТЮ АБО АМОРТИЗОВАНОЮ СОБІВАРТІСТЮ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181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Боргові цінні папери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182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184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185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186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191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Позики та аванси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192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194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195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196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900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Малі та середні підприємства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903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комерційним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197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910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житловим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913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Споживчий кредит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201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БОРГОВІ ІНСТРУМЕНТИ, ОЦІНЕНІ ЗА СПРАВЕДЛИВОЮ ВАРТІСТЮ ЧЕРЕЗ ІНШИЙ СУКУПНИЙ ДОХІД АБО ЧЕРЕЗ ВЛАСНИЙ КАПІТАЛ ЗІ ЗМЕНШЕНОЮ КОРИСНІСТЮ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211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Боргові цінні папери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1.31, 44(b)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212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214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215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216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221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Позики та аванси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1.32, 44(a)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lastRenderedPageBreak/>
              <w:t>222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224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225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226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920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Малі та середні підприємства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МСП стаття 1 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923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комерційним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227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930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Позики, забезпечені житловим нерухомим майном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2.86(a), 87, 234i 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933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У тому числі: Споживчий кредит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2.88(a), 234i 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231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БОРГОВІ ІНСТРУМЕНТИ, ВІДОБРАЖЕНІ ЛИШЕ ЗА СОБІВАРТІСТЮ ЧИ РИНКОВОЮ ЦІНОЮ (LOCOM) АБО ЗА СПРАВЕДЛИВОЮ ВАРТІСТЮ ЧЕРЕЗ ПРИБУТОК АБО ЗБИТОК ЧИ ЧЕРЕЗ ВЛАСНИЙ КАПІТАЛ ЗІ ЗМЕНШЕНОЮ КОРИСНІСТЮ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2.233(c), 234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2.233(c), 234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330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БОРГОВІ ІНСТРУМЕНТИ, КРІМ ТИХ, ЩО УТРИМУЮТЬСЯ ДЛЯ ТОРГІВЛІ, ТА КРІМ ТОРГОВЕЛЬНИХ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2.217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2.217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335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БОРГОВІ ІНСТРУМЕНТИ, УТРИМУВАНІ ДЛЯ ПРОДАЖУ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2.220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340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Надані зобов’язання з кредитування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1.44(g),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2.112, 113, 224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1.44(g),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2.102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105, 113, 116, 224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350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360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370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380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390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400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410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Надані фінансові гарантії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1.44(f),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2.112, 114, 225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МСФЗ 4,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A; 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1.44(f),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2.102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105, 114, 116, 225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420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lastRenderedPageBreak/>
              <w:t>430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440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450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460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470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480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Інші надані зобов’язання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1.44(g),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2.112, 115, 224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РВК,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I; 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1.44(g),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2.102</w:t>
            </w:r>
            <w:r w:rsidR="00F92542">
              <w:rPr>
                <w:rFonts w:ascii="Times New Roman" w:hAnsi="Times New Roman"/>
                <w:i/>
                <w:sz w:val="10"/>
                <w:lang w:bidi="ar"/>
              </w:rPr>
              <w:t>-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105, 115, 116, 224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490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Центральні банки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1.42(a)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500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Загальні уряди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1.42(b)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510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Кредитні установи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1.42(c)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520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Інші 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1.42(d)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530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Нефінансові корпорації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1.42(e)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540</w:t>
            </w:r>
          </w:p>
        </w:tc>
        <w:tc>
          <w:tcPr>
            <w:tcW w:w="993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Домогосподарства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1.42(f)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  <w:tr w:rsidR="00552EFF" w:rsidRPr="009B02DA" w:rsidTr="009B02DA">
        <w:trPr>
          <w:tblCellSpacing w:w="0" w:type="dxa"/>
        </w:trPr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sz w:val="10"/>
                <w:lang w:bidi="ar"/>
              </w:rPr>
              <w:t>550</w:t>
            </w:r>
          </w:p>
        </w:tc>
        <w:tc>
          <w:tcPr>
            <w:tcW w:w="993" w:type="dxa"/>
          </w:tcPr>
          <w:p w:rsidR="00552EFF" w:rsidRPr="00F92542" w:rsidRDefault="00552EFF" w:rsidP="009B02DA">
            <w:pPr>
              <w:pStyle w:val="a3"/>
              <w:rPr>
                <w:rFonts w:ascii="Times New Roman" w:hAnsi="Times New Roman"/>
                <w:b/>
                <w:sz w:val="10"/>
                <w:lang w:bidi="ar"/>
              </w:rPr>
            </w:pPr>
            <w:r w:rsidRPr="00F92542">
              <w:rPr>
                <w:rFonts w:ascii="Times New Roman" w:hAnsi="Times New Roman"/>
                <w:b/>
                <w:sz w:val="10"/>
                <w:lang w:bidi="ar"/>
              </w:rPr>
              <w:t>ПОЗАБАЛАНСОВІ ЕКСПОЗИЦІЇ</w:t>
            </w:r>
          </w:p>
        </w:tc>
        <w:tc>
          <w:tcPr>
            <w:tcW w:w="850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2.217</w:t>
            </w: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rPr>
                <w:rFonts w:ascii="Times New Roman" w:hAnsi="Times New Roman"/>
                <w:i/>
                <w:sz w:val="10"/>
                <w:lang w:bidi="ar"/>
              </w:rPr>
            </w:pP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Додаток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V. Частина</w:t>
            </w:r>
            <w:r w:rsidRPr="009B02DA">
              <w:rPr>
                <w:rFonts w:ascii="Times New Roman" w:hAnsi="Times New Roman"/>
                <w:i/>
                <w:sz w:val="10"/>
                <w:lang w:val="uk-UA" w:bidi="ar"/>
              </w:rPr>
              <w:t xml:space="preserve"> </w:t>
            </w:r>
            <w:r w:rsidRPr="009B02DA">
              <w:rPr>
                <w:rFonts w:ascii="Times New Roman" w:hAnsi="Times New Roman"/>
                <w:i/>
                <w:sz w:val="10"/>
                <w:lang w:bidi="ar"/>
              </w:rPr>
              <w:t>2.217</w:t>
            </w:r>
          </w:p>
        </w:tc>
        <w:tc>
          <w:tcPr>
            <w:tcW w:w="4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67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2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21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41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09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8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386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0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5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72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5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3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95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513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  <w:tc>
          <w:tcPr>
            <w:tcW w:w="644" w:type="dxa"/>
          </w:tcPr>
          <w:p w:rsidR="00552EFF" w:rsidRPr="009B02DA" w:rsidRDefault="00552EFF" w:rsidP="009B02DA">
            <w:pPr>
              <w:pStyle w:val="a3"/>
              <w:jc w:val="center"/>
              <w:rPr>
                <w:rFonts w:ascii="Times New Roman" w:hAnsi="Times New Roman"/>
                <w:sz w:val="10"/>
                <w:lang w:val="uk-UA" w:bidi="ar"/>
              </w:rPr>
            </w:pPr>
          </w:p>
        </w:tc>
      </w:tr>
    </w:tbl>
    <w:p w:rsidR="00CB3AED" w:rsidRPr="00F92542" w:rsidRDefault="00CB3AED" w:rsidP="00552EFF">
      <w:pPr>
        <w:jc w:val="both"/>
        <w:rPr>
          <w:rFonts w:ascii="Times New Roman" w:hAnsi="Times New Roman"/>
          <w:sz w:val="24"/>
        </w:rPr>
      </w:pPr>
    </w:p>
    <w:sectPr w:rsidR="00CB3AED" w:rsidRPr="00F92542" w:rsidSect="00552EFF">
      <w:pgSz w:w="24480" w:h="15840" w:orient="landscape" w:code="3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FF"/>
    <w:rsid w:val="00552EFF"/>
    <w:rsid w:val="009B02DA"/>
    <w:rsid w:val="00CB3AED"/>
    <w:rsid w:val="00CB4128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8C26"/>
  <w15:chartTrackingRefBased/>
  <w15:docId w15:val="{787A3B2D-2D49-410E-9C4E-03BBC9C9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CB4128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552EFF"/>
    <w:pPr>
      <w:spacing w:before="100" w:beforeAutospacing="1" w:after="100" w:afterAutospacing="1"/>
      <w:outlineLvl w:val="4"/>
    </w:pPr>
    <w:rPr>
      <w:rFonts w:ascii="SimSun" w:eastAsia="SimSun" w:hAnsi="SimSun"/>
      <w:b/>
      <w:i/>
      <w:sz w:val="20"/>
      <w:lang w:val="en-US" w:eastAsia="zh-CN"/>
    </w:rPr>
  </w:style>
  <w:style w:type="paragraph" w:styleId="6">
    <w:name w:val="heading 6"/>
    <w:basedOn w:val="a"/>
    <w:next w:val="a"/>
    <w:link w:val="60"/>
    <w:uiPriority w:val="9"/>
    <w:qFormat/>
    <w:rsid w:val="00552EFF"/>
    <w:pPr>
      <w:spacing w:before="100" w:beforeAutospacing="1" w:after="100" w:afterAutospacing="1"/>
      <w:outlineLvl w:val="5"/>
    </w:pPr>
    <w:rPr>
      <w:rFonts w:ascii="SimSun" w:eastAsia="SimSun" w:hAnsi="SimSun"/>
      <w:b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4128"/>
    <w:rPr>
      <w:rFonts w:ascii="Antiqua" w:hAnsi="Antiqua"/>
      <w:sz w:val="26"/>
      <w:lang w:eastAsia="ru-RU"/>
    </w:rPr>
  </w:style>
  <w:style w:type="paragraph" w:styleId="a3">
    <w:name w:val="Normal (Web)"/>
    <w:basedOn w:val="a"/>
    <w:uiPriority w:val="99"/>
    <w:rsid w:val="00552EFF"/>
    <w:pPr>
      <w:spacing w:before="100" w:beforeAutospacing="1" w:after="100" w:afterAutospacing="1"/>
    </w:pPr>
    <w:rPr>
      <w:rFonts w:ascii="Calibri" w:eastAsia="SimSun" w:hAnsi="Calibri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rsid w:val="00552EFF"/>
    <w:rPr>
      <w:rFonts w:ascii="SimSun" w:eastAsia="SimSun" w:hAnsi="SimSun"/>
      <w:b/>
      <w:i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552EFF"/>
    <w:rPr>
      <w:rFonts w:ascii="SimSun" w:eastAsia="SimSun" w:hAnsi="SimSun"/>
      <w:b/>
      <w:sz w:val="14"/>
      <w:szCs w:val="14"/>
      <w:lang w:val="en-US" w:eastAsia="zh-CN"/>
    </w:rPr>
  </w:style>
  <w:style w:type="character" w:customStyle="1" w:styleId="HTML">
    <w:name w:val="Стандартний HTML Знак"/>
    <w:basedOn w:val="a0"/>
    <w:link w:val="HTML0"/>
    <w:uiPriority w:val="99"/>
    <w:rsid w:val="00552EFF"/>
    <w:rPr>
      <w:rFonts w:ascii="SimSun" w:eastAsia="SimSun" w:hAnsi="SimSun"/>
      <w:sz w:val="24"/>
      <w:szCs w:val="24"/>
      <w:lang w:val="en-US" w:eastAsia="zh-CN"/>
    </w:rPr>
  </w:style>
  <w:style w:type="paragraph" w:styleId="HTML0">
    <w:name w:val="HTML Preformatted"/>
    <w:basedOn w:val="a"/>
    <w:link w:val="HTML"/>
    <w:uiPriority w:val="99"/>
    <w:rsid w:val="00552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9808</Words>
  <Characters>5592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2023-10-12T10:36:00Z</dcterms:created>
  <dcterms:modified xsi:type="dcterms:W3CDTF">2023-10-12T12:08:00Z</dcterms:modified>
</cp:coreProperties>
</file>