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Lines="0" w:afterLines="0" w:line="228" w:lineRule="auto"/>
        <w:ind w:left="3900" w:leftChars="1500" w:right="-793" w:rightChars="-305" w:firstLine="0" w:firstLineChars="0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“Додаток 6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 xml:space="preserve">до Порядку зупинення реєстрації податкової накладної/розрахунку коригування 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в Єдиному реєстрі податкових накладних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 xml:space="preserve">(в редакції постанови Кабінету Міністрів України 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від 23 грудня 2022 р. № 1428)</w:t>
      </w:r>
    </w:p>
    <w:p>
      <w:pPr>
        <w:pStyle w:val="4"/>
        <w:spacing w:before="240" w:beforeLines="0" w:afterLines="0" w:line="228" w:lineRule="auto"/>
        <w:ind w:right="-793" w:rightChars="-305" w:firstLine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РІШЕННЯ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про врахування/неврахування таблиці даних платника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податку на додану вартість</w:t>
      </w:r>
    </w:p>
    <w:tbl>
      <w:tblPr>
        <w:tblStyle w:val="3"/>
        <w:tblW w:w="544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8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3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 w:line="228" w:lineRule="auto"/>
              <w:ind w:right="-793" w:rightChars="-3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____ ____________ 20___ р.</w:t>
            </w:r>
          </w:p>
        </w:tc>
        <w:tc>
          <w:tcPr>
            <w:tcW w:w="262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Lines="0" w:afterLines="0" w:line="228" w:lineRule="auto"/>
              <w:ind w:right="-793" w:rightChars="-305"/>
              <w:jc w:val="righ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__________</w:t>
            </w:r>
          </w:p>
        </w:tc>
      </w:tr>
    </w:tbl>
    <w:p>
      <w:pPr>
        <w:pStyle w:val="4"/>
        <w:spacing w:before="240" w:beforeLines="0" w:after="120" w:afterLines="0" w:line="228" w:lineRule="auto"/>
        <w:ind w:right="-793" w:rightChars="-305" w:firstLine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Дані щодо платника податку</w:t>
      </w:r>
    </w:p>
    <w:tbl>
      <w:tblPr>
        <w:tblStyle w:val="3"/>
        <w:tblW w:w="545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4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pacing w:before="80" w:beforeLines="0" w:afterLines="0" w:line="228" w:lineRule="auto"/>
              <w:ind w:right="156" w:rightChars="60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Податковий номер або серія (за наявності) та номер паспорта*</w:t>
            </w: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="80" w:beforeLines="0" w:afterLines="0" w:line="228" w:lineRule="auto"/>
              <w:ind w:right="-793" w:rightChars="-3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pacing w:before="80" w:beforeLines="0" w:afterLines="0" w:line="228" w:lineRule="auto"/>
              <w:ind w:right="156" w:rightChars="60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Індивідуальний податковий номер платника податку на додану вартість (далі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платник податку)</w:t>
            </w: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="80" w:beforeLines="0" w:afterLines="0" w:line="228" w:lineRule="auto"/>
              <w:ind w:right="-793" w:rightChars="-3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pacing w:before="80" w:beforeLines="0" w:afterLines="0" w:line="228" w:lineRule="auto"/>
              <w:ind w:right="156" w:rightChars="60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Найменування юридичної особи та представництва нерезидента; прізвище, ім’я, по батькові (за наявності) фізичної особи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підприємця; найменування, дата та номер договору про спільну діяльність та управління майном </w:t>
            </w:r>
          </w:p>
        </w:tc>
        <w:tc>
          <w:tcPr>
            <w:tcW w:w="8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="80" w:beforeLines="0" w:afterLines="0" w:line="228" w:lineRule="auto"/>
              <w:ind w:right="-793" w:rightChars="-3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4"/>
        <w:spacing w:beforeLines="0" w:afterLines="0" w:line="228" w:lineRule="auto"/>
        <w:ind w:right="-793" w:rightChars="-3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 результатами розгляду таблиці даних платника податку, зареєстрованої у контролюючому органі ____ ___________ 20__ р. за №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_______, відповідно до пункту 16 Порядку зупинення реєстрації податкової накладної/розрахунку коригування в Єдиному реєстрі податкових накладних, затвердженого постановою Кабінету Міністрів України від 11 грудня 2019 р. № 1165, прийнято рішення про її:</w:t>
      </w:r>
    </w:p>
    <w:tbl>
      <w:tblPr>
        <w:tblStyle w:val="3"/>
        <w:tblW w:w="4942" w:type="pct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"/>
        <w:gridCol w:w="81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="0" w:beforeLines="0" w:afterLines="0" w:line="228" w:lineRule="auto"/>
              <w:ind w:right="-793" w:rightChars="-30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85725</wp:posOffset>
                      </wp:positionV>
                      <wp:extent cx="123825" cy="123825"/>
                      <wp:effectExtent l="5080" t="5080" r="4445" b="44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3.15pt;margin-top:6.75pt;height:9.75pt;width:9.75pt;z-index:251659264;v-text-anchor:middle;mso-width-relative:margin;mso-height-relative:margin;" filled="f" stroked="t" coordsize="21600,21600" o:gfxdata="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IMRZc1QAAAAcBAAAPAAAA&#10;AAAAAAEAIAAAACIAAABkcnMvZG93bnJldi54bWxQSwECFAAUAAAACACHTuJA1CbTMhgCAAAjBAAA&#10;DgAAAAAAAAABACAAAAAkAQAAZHJzL2Uyb0RvYy54bWxQSwUGAAAAAAYABgBZAQAArgUAAAAA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="60" w:beforeLines="0" w:afterLines="0" w:line="228" w:lineRule="auto"/>
              <w:ind w:right="-793" w:rightChars="-3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врахування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="0" w:beforeLines="0" w:afterLines="0" w:line="228" w:lineRule="auto"/>
              <w:ind w:right="-793" w:rightChars="-305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100330</wp:posOffset>
                      </wp:positionV>
                      <wp:extent cx="123825" cy="123825"/>
                      <wp:effectExtent l="5080" t="5080" r="4445" b="4445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2.85pt;margin-top:7.9pt;height:9.75pt;width:9.75pt;z-index:251660288;v-text-anchor:middle;mso-width-relative:margin;mso-height-relative:margin;" filled="f" stroked="t" coordsize="21600,21600" o:gfxdata="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RNPpnWAAAABwEAAA8A&#10;AAAAAAAAAQAgAAAAIgAAAGRycy9kb3ducmV2LnhtbFBLAQIUABQAAAAIAIdO4kA9QwiLGQIAACME&#10;AAAOAAAAAAAAAAEAIAAAACUBAABkcnMvZTJvRG9jLnhtbFBLBQYAAAAABgAGAFkBAACw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pacing w:before="60" w:beforeLines="0" w:afterLines="0" w:line="228" w:lineRule="auto"/>
              <w:ind w:right="-793" w:rightChars="-305"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неврахування</w:t>
            </w:r>
          </w:p>
        </w:tc>
      </w:tr>
    </w:tbl>
    <w:p>
      <w:pPr>
        <w:pStyle w:val="4"/>
        <w:spacing w:beforeLines="0" w:afterLines="0" w:line="228" w:lineRule="auto"/>
        <w:ind w:right="-793" w:rightChars="-305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Підстави:</w:t>
      </w:r>
    </w:p>
    <w:p>
      <w:pPr>
        <w:pStyle w:val="4"/>
        <w:spacing w:before="0" w:beforeLines="0" w:after="120" w:afterLines="0" w:line="228" w:lineRule="auto"/>
        <w:ind w:right="-793" w:rightChars="-3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35560</wp:posOffset>
                </wp:positionV>
                <wp:extent cx="123825" cy="123825"/>
                <wp:effectExtent l="5080" t="5080" r="4445" b="444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.95pt;margin-top:2.8pt;height:9.75pt;width:9.75pt;z-index:251661312;v-text-anchor:middle;mso-width-relative:margin;mso-height-relative:margin;" filled="f" stroked="t" coordsize="21600,21600" o:gfxdata="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RO2YH1QAAAAcBAAAPAAAA&#10;AAAAAAEAIAAAACIAAABkcnMvZG93bnJldi54bWxQSwECFAAUAAAACACHTuJAQ6C6jRgCAAAjBAAA&#10;DgAAAAAAAAABACAAAAAkAQAAZHJzL2Uyb0RvYy54bWxQSwUGAAAAAAYABgBZAQAArgUAAAAA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</w:rPr>
        <w:t>наявність в контролюючих органах податкової інформації, що свідчить про здійснення платником податку ризикових операцій</w:t>
      </w:r>
    </w:p>
    <w:tbl>
      <w:tblPr>
        <w:tblStyle w:val="3"/>
        <w:tblW w:w="980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245"/>
        <w:gridCol w:w="1313"/>
        <w:gridCol w:w="1252"/>
        <w:gridCol w:w="1253"/>
        <w:gridCol w:w="1204"/>
        <w:gridCol w:w="2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Тип операції придбання/ постачання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11" w:rightChars="0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Період здійснення господар-ської операції**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88" w:rightChars="-34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Код згідно з УКТЗЕД операції, визначеної як ризикова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86" w:rightChars="33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Код згідно з ДКПП операції, визначеної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як ризикова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127" w:rightChars="-49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Умовний код товару операції, визначеної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як ризикова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18" w:rightChars="7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Податковий номер платника податку, задіяного в ризиковій операції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29" w:rightChars="-11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Дата включення платника податку, задіяного в ризиковій операції, до переліку платників, які відповідають критеріям ризиковості платника податку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65" w:rightChars="25" w:firstLine="0"/>
              <w:jc w:val="center"/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  <w:t>(обирається 1 з 2 варіантів)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11" w:rightChars="0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 xml:space="preserve">з __.__.__ </w:t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  <w:t>по __.__.__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88" w:rightChars="-34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  <w:t>(обирається з довідника)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127" w:rightChars="-49" w:firstLine="0"/>
              <w:jc w:val="center"/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  <w:t>(обирається з довідника)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127" w:rightChars="-49" w:firstLine="0"/>
              <w:jc w:val="center"/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pacing w:val="-4"/>
                <w:sz w:val="22"/>
                <w:szCs w:val="22"/>
              </w:rPr>
              <w:t>(обирається з довідника)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793" w:rightChars="-305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left="-57" w:right="-793" w:rightChars="-305" w:firstLine="0"/>
              <w:jc w:val="center"/>
              <w:rPr>
                <w:rFonts w:hint="default" w:ascii="Times New Roman" w:hAnsi="Times New Roman" w:cs="Times New Roman"/>
                <w:spacing w:val="-4"/>
                <w:sz w:val="22"/>
                <w:szCs w:val="22"/>
              </w:rPr>
            </w:pPr>
          </w:p>
        </w:tc>
      </w:tr>
    </w:tbl>
    <w:p>
      <w:pPr>
        <w:pStyle w:val="4"/>
        <w:spacing w:before="0" w:beforeLines="0" w:afterLines="0"/>
        <w:ind w:right="-793" w:rightChars="-3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32385</wp:posOffset>
                </wp:positionV>
                <wp:extent cx="123825" cy="123825"/>
                <wp:effectExtent l="5080" t="5080" r="4445" b="444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15pt;margin-top:2.55pt;height:9.75pt;width:9.75pt;z-index:251662336;v-text-anchor:middle;mso-width-relative:margin;mso-height-relative:margin;" filled="f" stroked="t" coordsize="21600,21600" o:gfxdata="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ANAiTdYAAAAGAQAADwAA&#10;AAAAAAABACAAAAAiAAAAZHJzL2Rvd25yZXYueG1sUEsBAhQAFAAAAAgAh07iQKrFYTQYAgAAIwQA&#10;AA4AAAAAAAAAAQAgAAAAJQEAAGRycy9lMm9Eb2MueG1sUEsFBgAAAAAGAAYAWQEAAK8FAAAAAA==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</w:rPr>
        <w:t>прийнято рішення про відповідність критерію ризиковості платника податку згідно з пунктом ___ (зазначається пункт 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>5) додатка 1 до Порядку зупинення реєстрації податкової накладної/розрахунку коригування в Єдиному реєстрі податкових накладних, затвердженого постановою Кабінету Міністрів України від 11 грудня 2019 р. № 1165;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>
      <w:pPr>
        <w:pStyle w:val="4"/>
        <w:spacing w:before="0" w:beforeLines="0" w:afterLines="0"/>
        <w:ind w:right="-793" w:rightChars="-305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4"/>
        <w:spacing w:beforeLines="0" w:afterLines="0"/>
        <w:ind w:right="-793" w:rightChars="-30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116840</wp:posOffset>
                </wp:positionV>
                <wp:extent cx="123825" cy="123825"/>
                <wp:effectExtent l="5080" t="5080" r="4445" b="444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5pt;margin-top:9.2pt;height:9.75pt;width:9.75pt;z-index:251663360;v-text-anchor:middle;mso-width-relative:margin;mso-height-relative:margin;" filled="f" stroked="t" coordsize="21600,21600" o:gfxdata="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3/hs9gAAAAJAQAA&#10;DwAAAAAAAAABACAAAAAiAAAAZHJzL2Rvd25yZXYueG1sUEsBAhQAFAAAAAgAh07iQL9m34AZAgAA&#10;IwQAAA4AAAAAAAAAAQAgAAAAJwEAAGRycy9lMm9Eb2MueG1sUEsFBgAAAAAGAAYAWQEAALIFAAAA&#10;AA==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</w:rPr>
        <w:t>виявлення невідповідності визначених платником податку в таблиці даних видів діяльності наявним у платника податку основним засобам:</w:t>
      </w:r>
    </w:p>
    <w:p>
      <w:pPr>
        <w:pStyle w:val="4"/>
        <w:spacing w:beforeLines="0" w:afterLines="0"/>
        <w:ind w:right="-793" w:rightChars="-305" w:firstLine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___________</w:t>
      </w:r>
      <w:r>
        <w:rPr>
          <w:rFonts w:hint="default" w:ascii="Times New Roman" w:hAnsi="Times New Roman" w:cs="Times New Roman"/>
          <w:sz w:val="24"/>
          <w:szCs w:val="24"/>
        </w:rPr>
        <w:t>_______</w:t>
      </w:r>
    </w:p>
    <w:p>
      <w:pPr>
        <w:pStyle w:val="4"/>
        <w:spacing w:before="0" w:beforeLines="0" w:afterLines="0"/>
        <w:ind w:right="-793" w:rightChars="-305" w:firstLine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(розшифрувати)</w:t>
      </w:r>
    </w:p>
    <w:p>
      <w:pPr>
        <w:pStyle w:val="4"/>
        <w:tabs>
          <w:tab w:val="left" w:pos="9071"/>
        </w:tabs>
        <w:spacing w:before="0" w:beforeLines="0" w:afterLines="0"/>
        <w:ind w:right="-793" w:rightChars="-305"/>
        <w:jc w:val="both"/>
        <w:rPr>
          <w:rFonts w:hint="default"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24130</wp:posOffset>
                </wp:positionV>
                <wp:extent cx="123825" cy="123825"/>
                <wp:effectExtent l="5080" t="5080" r="4445" b="444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pt;margin-top:1.9pt;height:9.75pt;width:9.75pt;z-index:251664384;v-text-anchor:middle;mso-width-relative:margin;mso-height-relative:margin;" filled="f" stroked="t" coordsize="21600,21600" o:gfxdata="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XXZ5dUAAAAHAQAADwAA&#10;AAAAAAABACAAAAAiAAAAZHJzL2Rvd25yZXYueG1sUEsBAhQAFAAAAAgAh07iQFYDBDkZAgAAIwQA&#10;AA4AAAAAAAAAAQAgAAAAJAEAAGRycy9lMm9Eb2MueG1sUEsFBgAAAAAGAAYAWQEAAK8FAAAAAA==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4"/>
          <w:szCs w:val="24"/>
        </w:rPr>
        <w:t xml:space="preserve">інше 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ab/>
      </w:r>
    </w:p>
    <w:p>
      <w:pPr>
        <w:pStyle w:val="4"/>
        <w:spacing w:before="0" w:beforeLines="0" w:afterLines="0"/>
        <w:ind w:right="-793" w:rightChars="-305" w:firstLine="1276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(зазначити причини неврахування таблиці даних платника податку)</w:t>
      </w:r>
    </w:p>
    <w:p>
      <w:pPr>
        <w:shd w:val="clear" w:color="auto" w:fill="FFFFFF"/>
        <w:spacing w:before="120" w:beforeLines="0" w:afterLines="0" w:line="228" w:lineRule="auto"/>
        <w:ind w:right="-793" w:rightChars="-305" w:firstLine="425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Рішення про врахування/неврахування таблиці даних платника податку може бути оскаржено в адміністративному або судовому порядку.</w:t>
      </w:r>
    </w:p>
    <w:p>
      <w:pPr>
        <w:shd w:val="clear" w:color="auto" w:fill="FFFFFF"/>
        <w:spacing w:before="120" w:beforeLines="0" w:afterLines="0" w:line="228" w:lineRule="auto"/>
        <w:ind w:right="-793" w:rightChars="-305" w:firstLine="425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94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5"/>
        <w:gridCol w:w="2215"/>
        <w:gridCol w:w="26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46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right="-793" w:rightChars="-305" w:firstLine="0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Голова комісії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з питань зупинення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реєстрації податкової накладної/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розрахунку коригування в Єдиному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реєстрі податкових накладних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bottom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right="-81" w:rightChars="-31" w:firstLine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br w:type="textWrapping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(підпис)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bottom"/>
          </w:tcPr>
          <w:p>
            <w:pPr>
              <w:pStyle w:val="4"/>
              <w:shd w:val="clear" w:color="auto" w:fill="FFFFFF"/>
              <w:spacing w:beforeLines="0" w:afterLines="0" w:line="228" w:lineRule="auto"/>
              <w:ind w:right="-122" w:rightChars="-47" w:firstLine="0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t>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/>
              </w:rPr>
              <w:br w:type="textWrapping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(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eastAsia="uk-UA"/>
              </w:rPr>
              <w:t>власне ім’я та прізвище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t>)</w:t>
            </w:r>
          </w:p>
        </w:tc>
      </w:tr>
    </w:tbl>
    <w:p>
      <w:pPr>
        <w:pStyle w:val="4"/>
        <w:shd w:val="clear" w:color="auto" w:fill="FFFFFF"/>
        <w:spacing w:beforeLines="0" w:afterLines="0"/>
        <w:ind w:right="-793" w:rightChars="-305" w:firstLine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___________</w:t>
      </w:r>
    </w:p>
    <w:p>
      <w:pPr>
        <w:pStyle w:val="4"/>
        <w:shd w:val="clear" w:color="auto" w:fill="FFFFFF"/>
        <w:spacing w:beforeLines="0" w:afterLines="0"/>
        <w:ind w:right="-793" w:rightChars="-305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* Для фізичних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про право здійснювати будь-які платежі за серією (за наявності) та номером паспорта.</w:t>
      </w:r>
    </w:p>
    <w:p>
      <w:pPr>
        <w:pStyle w:val="4"/>
        <w:shd w:val="clear" w:color="auto" w:fill="FFFFFF"/>
        <w:spacing w:beforeLines="0" w:afterLines="0"/>
        <w:ind w:right="-793" w:rightChars="-305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** У разі наявності в контролюючих органах податкової інформації, що свідчить про здійснення платником податку ризикових операцій, зазначається період здійснення господарської операції, визнаної як ризикова, та код згідно з УКТЗЕД/ДКПП такої операції.</w:t>
      </w:r>
    </w:p>
    <w:sectPr>
      <w:pgSz w:w="11906" w:h="16838"/>
      <w:pgMar w:top="66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ntiqua">
    <w:altName w:val="Courier New"/>
    <w:panose1 w:val="020B72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54F04"/>
    <w:rsid w:val="10851198"/>
    <w:rsid w:val="3635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nhideWhenUsed/>
    <w:qFormat/>
    <w:uiPriority w:val="0"/>
    <w:pPr>
      <w:spacing w:beforeLines="0" w:afterLines="0"/>
    </w:pPr>
    <w:rPr>
      <w:rFonts w:hint="default" w:ascii="Antiqua" w:hAnsi="Antiqua" w:eastAsia="SimSun" w:cs="Times New Roman"/>
      <w:sz w:val="26"/>
      <w:szCs w:val="24"/>
      <w:lang w:val="uk-UA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Нормальний текст"/>
    <w:basedOn w:val="1"/>
    <w:unhideWhenUsed/>
    <w:uiPriority w:val="0"/>
    <w:pPr>
      <w:spacing w:before="120" w:beforeLines="0" w:afterLines="0"/>
      <w:ind w:firstLine="567"/>
    </w:pPr>
    <w:rPr>
      <w:rFonts w:hint="default"/>
      <w:sz w:val="2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2937</Characters>
  <Lines>0</Lines>
  <Paragraphs>0</Paragraphs>
  <TotalTime>11</TotalTime>
  <ScaleCrop>false</ScaleCrop>
  <LinksUpToDate>false</LinksUpToDate>
  <CharactersWithSpaces>3312</CharactersWithSpaces>
  <Application>WPS Office_11.2.0.11214_F1E327BC-269C-435d-A152-05C5408002CA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2022-12-28T13:04:00Z</dcterms:created>
  <dc:creator>  </dc:creator>
  <cp:lastModifiedBy>Потапенко Юрій</cp:lastModifiedBy>
  <dcterms:modified xsi:type="dcterms:W3CDTF">2022-12-28T14:09:36Z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1049-11.2.0.11214</vt:lpwstr>
  </property>
  <property fmtid="{D5CDD505-2E9C-101B-9397-08002B2CF9AE}" pid="3" name="ICV">
    <vt:lpwstr>F2444DEB65F6466F86AE38913832BC2E</vt:lpwstr>
  </property>
</Properties>
</file>