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1D" w:rsidRPr="00263808" w:rsidRDefault="0079631D" w:rsidP="00263808">
      <w:pPr>
        <w:shd w:val="clear" w:color="auto" w:fill="FFFFFF"/>
        <w:spacing w:before="120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12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Інструкції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впровадження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покращення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br/>
        <w:t>гігієни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закладах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охорони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здоров’я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br/>
        <w:t>та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установах/закладах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соціальних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послуг/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br/>
        <w:t>соціального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населення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ІІІ,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пункт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V,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br/>
        <w:t>пункт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11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V)</w:t>
      </w:r>
    </w:p>
    <w:p w:rsidR="0079631D" w:rsidRPr="00263808" w:rsidRDefault="0079631D" w:rsidP="00263808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ПРОТОКОЛ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системної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самооцінки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гігієни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рук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ЗОЗ/ЗСЗ</w:t>
      </w:r>
    </w:p>
    <w:p w:rsidR="0079631D" w:rsidRPr="00263808" w:rsidRDefault="0079631D" w:rsidP="0079631D">
      <w:pPr>
        <w:shd w:val="clear" w:color="auto" w:fill="FFFFFF"/>
        <w:spacing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Вступна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частина</w:t>
      </w:r>
    </w:p>
    <w:p w:rsidR="0079631D" w:rsidRPr="00263808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Системна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самооцінка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ЗОЗ/ЗСЗ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проводиться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Протоколу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метою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оцінки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реалізації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ЗОЗ/ЗСЗ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ММС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покращення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рук.</w:t>
      </w:r>
    </w:p>
    <w:p w:rsidR="0079631D" w:rsidRPr="00263808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Цей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Протокол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включає:</w:t>
      </w:r>
    </w:p>
    <w:p w:rsidR="0079631D" w:rsidRPr="00263808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опитувальник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реалізації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основних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компонентів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ММС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розділів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«Зміни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системі»,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«Навчання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підготовка»,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«Моніторинг,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аудит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зворотній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зв’язок»,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«Нагадування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робочому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місці»,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«Культура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дотримання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рук»;</w:t>
      </w:r>
    </w:p>
    <w:p w:rsidR="0079631D" w:rsidRPr="00263808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таблицю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результатів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оцінки;</w:t>
      </w:r>
    </w:p>
    <w:p w:rsidR="0079631D" w:rsidRPr="00263808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таблицю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інтерпретації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результатів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оцінки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26380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визначення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рівня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ЗОЗ/ЗСЗ.</w:t>
      </w:r>
    </w:p>
    <w:p w:rsidR="0079631D" w:rsidRPr="00263808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Оцінка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здійснюється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кожному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відповідному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розділі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підсумку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кожному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розділів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кількості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балів,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зазначених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колонці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«Оцінка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(балів)».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Загальна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сума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балів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всіх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розділах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порівнюється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значеннями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загальної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суми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балів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визначення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рівня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рук.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Визначений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рівень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використовується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відповідних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заходів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покращення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>ЗОЗ/ЗСЗ.</w:t>
      </w:r>
    </w:p>
    <w:p w:rsidR="00263808" w:rsidRDefault="00D7600D" w:rsidP="0079631D">
      <w:pPr>
        <w:shd w:val="clear" w:color="auto" w:fill="FFFFFF"/>
        <w:spacing w:before="100" w:after="225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  <w:sectPr w:rsidR="0026380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9631D" w:rsidRPr="00263808" w:rsidRDefault="0079631D" w:rsidP="0079631D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ІІ.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Опитувальник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реалізації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основних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компонентів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ММС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0"/>
        <w:gridCol w:w="7295"/>
        <w:gridCol w:w="6201"/>
        <w:gridCol w:w="1161"/>
      </w:tblGrid>
      <w:tr w:rsidR="0079631D" w:rsidRPr="00263808" w:rsidTr="00263808">
        <w:trPr>
          <w:trHeight w:val="11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1D3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Зміни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системі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Питання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Відповідь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(виберіть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лише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одну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відповідь)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Оцінка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(балів)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Наскільки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легко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знайти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антисептик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рук?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використовується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Доступний(і),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але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його/їх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ефективність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(відповідність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державним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стандартам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України)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переносимість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були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визначені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Доступний(і),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але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лише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деяких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підрозділах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та/або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завжди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Завжди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доступний(і)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всіх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підрозділах,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визначені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його/їх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ефективність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переносимість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Завжди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доступний(і)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всіх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більшості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точок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догляду,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визначені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його/їх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ефективність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переносимість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Завжди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доступний(і)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всіх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всіх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точках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догляду,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визначені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його/їх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ефективність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переносимість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Співвідношення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раковина/ліжко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становить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Менше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ніж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: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≥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: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більшості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підрозділів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≥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: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всіх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(тільки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ЗОЗ)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: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ізоляторах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ВАРІТ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постійно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чиста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безпечна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(централізоване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водопостачання)?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</w:tbl>
    <w:p w:rsidR="00263808" w:rsidRPr="00263808" w:rsidRDefault="00263808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0"/>
        <w:gridCol w:w="7295"/>
        <w:gridCol w:w="6201"/>
        <w:gridCol w:w="1161"/>
      </w:tblGrid>
      <w:tr w:rsidR="0079631D" w:rsidRPr="00263808" w:rsidTr="00263808">
        <w:trPr>
          <w:trHeight w:val="113"/>
        </w:trPr>
        <w:tc>
          <w:tcPr>
            <w:tcW w:w="1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41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мило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біля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кожної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раковини?</w:t>
            </w:r>
          </w:p>
        </w:tc>
        <w:tc>
          <w:tcPr>
            <w:tcW w:w="20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5.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одноразові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паперові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рушники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біля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кожної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раковини?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кошти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виділені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виключно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закупівлю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витратних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засобів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рук?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Додаткове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запитання.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Відповідати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слід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лише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тому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випадку,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якщо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перші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шість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запитань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балів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становить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менше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100!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113"/>
        </w:trPr>
        <w:tc>
          <w:tcPr>
            <w:tcW w:w="4616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балів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оцінки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«Зміни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системі»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:rsidR="0079631D" w:rsidRPr="00263808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263808" w:rsidTr="00263808">
        <w:trPr>
          <w:trHeight w:val="113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1D3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Навчання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підготовка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Питання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Відповідь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(виберіть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лише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одну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відповідь)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Оцінка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(балів)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часто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працівники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проходять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навчання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рук?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Ніколи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Одноразово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(наприклад,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влаштуванні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роботу)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Регулярне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навчання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всіх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працівників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щонайменше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один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Обов’язкове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навчання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перед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влаштуванням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роботу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наступне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регулярне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щонайменше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один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проводиться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перевірка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знань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після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кожного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курсу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навчання?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</w:t>
            </w:r>
          </w:p>
        </w:tc>
      </w:tr>
    </w:tbl>
    <w:p w:rsidR="0079631D" w:rsidRPr="00263808" w:rsidRDefault="00D7600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"/>
        <w:gridCol w:w="7371"/>
        <w:gridCol w:w="6265"/>
        <w:gridCol w:w="1173"/>
      </w:tblGrid>
      <w:tr w:rsidR="0079631D" w:rsidRPr="00263808" w:rsidTr="00263808">
        <w:trPr>
          <w:trHeight w:val="272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84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вільному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доступі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наступні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документи?</w:t>
            </w:r>
          </w:p>
        </w:tc>
      </w:tr>
      <w:tr w:rsidR="0079631D" w:rsidRPr="00263808" w:rsidTr="00263808">
        <w:trPr>
          <w:trHeight w:val="272"/>
        </w:trPr>
        <w:tc>
          <w:tcPr>
            <w:tcW w:w="2565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3.1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Правила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практики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відповідно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Інструкції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впровадження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покращення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ЗСЗ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72"/>
        </w:trPr>
        <w:tc>
          <w:tcPr>
            <w:tcW w:w="2565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</w:tr>
      <w:tr w:rsidR="0079631D" w:rsidRPr="00263808" w:rsidTr="00263808">
        <w:trPr>
          <w:trHeight w:val="272"/>
        </w:trPr>
        <w:tc>
          <w:tcPr>
            <w:tcW w:w="2565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3.2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рук: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довідкове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керівництво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ВООЗ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72"/>
        </w:trPr>
        <w:tc>
          <w:tcPr>
            <w:tcW w:w="2565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272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спеціаліст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(із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відповідним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сертифікатом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його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еквівалентом),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проводить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навчання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рук?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72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</w:tr>
      <w:tr w:rsidR="0079631D" w:rsidRPr="00263808" w:rsidTr="00263808">
        <w:trPr>
          <w:trHeight w:val="272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спостерігачі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рук?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72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</w:tr>
      <w:tr w:rsidR="0079631D" w:rsidRPr="00263808" w:rsidTr="00263808">
        <w:trPr>
          <w:trHeight w:val="272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виділені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кошти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навчання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ЗОЗ/ЗСЗ?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72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261"/>
        </w:trPr>
        <w:tc>
          <w:tcPr>
            <w:tcW w:w="4616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балів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оцінки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«Навчання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підготовка»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263808" w:rsidTr="00263808">
        <w:trPr>
          <w:trHeight w:val="261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1D3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Моніторинг,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оцінка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зворотній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зв’язок</w:t>
            </w:r>
          </w:p>
        </w:tc>
      </w:tr>
      <w:tr w:rsidR="0079631D" w:rsidRPr="00263808" w:rsidTr="00263808">
        <w:trPr>
          <w:trHeight w:val="410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Питання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Оцінка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(балів)</w:t>
            </w:r>
          </w:p>
        </w:tc>
      </w:tr>
      <w:tr w:rsidR="0079631D" w:rsidRPr="00263808" w:rsidTr="00263808">
        <w:trPr>
          <w:trHeight w:val="272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проводяться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регулярні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оцінки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(щонайменше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щорічно)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інфраструктури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ресурсів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рук?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72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4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4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проводиться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після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кожного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навчання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перевірка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знань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працівників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щодо</w:t>
            </w:r>
          </w:p>
        </w:tc>
      </w:tr>
      <w:tr w:rsidR="0079631D" w:rsidRPr="00263808" w:rsidTr="00263808">
        <w:trPr>
          <w:trHeight w:val="113"/>
        </w:trPr>
        <w:tc>
          <w:tcPr>
            <w:tcW w:w="2565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2.1.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Показань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практики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2565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</w:tbl>
    <w:p w:rsidR="0079631D" w:rsidRPr="00263808" w:rsidRDefault="00D7600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"/>
        <w:gridCol w:w="7527"/>
        <w:gridCol w:w="6396"/>
        <w:gridCol w:w="898"/>
      </w:tblGrid>
      <w:tr w:rsidR="0079631D" w:rsidRPr="00263808" w:rsidTr="00263808">
        <w:trPr>
          <w:trHeight w:val="244"/>
        </w:trPr>
        <w:tc>
          <w:tcPr>
            <w:tcW w:w="261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2.2.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Техніки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</w:p>
        </w:tc>
        <w:tc>
          <w:tcPr>
            <w:tcW w:w="20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98"/>
        </w:trPr>
        <w:tc>
          <w:tcPr>
            <w:tcW w:w="261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113"/>
        </w:trPr>
        <w:tc>
          <w:tcPr>
            <w:tcW w:w="14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здійснюється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регулярний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моніторинг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кількості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використаних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засобів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(щонайменше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один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місяці)?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14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113"/>
        </w:trPr>
        <w:tc>
          <w:tcPr>
            <w:tcW w:w="14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здійснюється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регулярний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моніторинг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кількості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використаного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мила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(щонайменше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один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місяці)?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14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113"/>
        </w:trPr>
        <w:tc>
          <w:tcPr>
            <w:tcW w:w="14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Кількість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використаного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антисептику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становить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щонайменше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літрів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1000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ліжкоднів?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(або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визначається)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14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258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85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Прямий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моніторинг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дотриманням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(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заповнюється,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якщо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спостерігач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пройшов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відповідне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навчання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)</w:t>
            </w:r>
          </w:p>
        </w:tc>
      </w:tr>
      <w:tr w:rsidR="0079631D" w:rsidRPr="00263808" w:rsidTr="00263808">
        <w:trPr>
          <w:trHeight w:val="113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6.1.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часто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проводиться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оцінювання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відповідно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Протоколу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оцінки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правил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рук?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Не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проводиться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Нерегулярно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113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Щорічно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113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Кожні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місяці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частіше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</w:tr>
      <w:tr w:rsidR="0079631D" w:rsidRPr="00263808" w:rsidTr="00263808">
        <w:trPr>
          <w:trHeight w:val="113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6.2.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загальний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рівень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правил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ЗОЗ/ЗСЗ?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≤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30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31–40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113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41–50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113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51–60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</w:tr>
      <w:tr w:rsidR="0079631D" w:rsidRPr="00263808" w:rsidTr="00263808">
        <w:trPr>
          <w:trHeight w:val="113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61–70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</w:t>
            </w:r>
          </w:p>
        </w:tc>
      </w:tr>
      <w:tr w:rsidR="0079631D" w:rsidRPr="00263808" w:rsidTr="00263808">
        <w:trPr>
          <w:trHeight w:val="113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71–80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25</w:t>
            </w:r>
          </w:p>
        </w:tc>
      </w:tr>
      <w:tr w:rsidR="0079631D" w:rsidRPr="00263808" w:rsidTr="00263808">
        <w:trPr>
          <w:trHeight w:val="113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≥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81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5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30</w:t>
            </w:r>
          </w:p>
        </w:tc>
      </w:tr>
    </w:tbl>
    <w:p w:rsidR="0079631D" w:rsidRPr="00263808" w:rsidRDefault="00D7600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"/>
        <w:gridCol w:w="7371"/>
        <w:gridCol w:w="6265"/>
        <w:gridCol w:w="1173"/>
      </w:tblGrid>
      <w:tr w:rsidR="0079631D" w:rsidRPr="00263808" w:rsidTr="00263808">
        <w:trPr>
          <w:trHeight w:val="113"/>
        </w:trPr>
        <w:tc>
          <w:tcPr>
            <w:tcW w:w="1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1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забезпечується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зворотній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зв’язок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працівниками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після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кожної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навчальної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сесії?</w:t>
            </w:r>
          </w:p>
        </w:tc>
        <w:tc>
          <w:tcPr>
            <w:tcW w:w="20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4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забезпечується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системний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зворотній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зв’язок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(щонайменше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один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півроку)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врахуванням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даних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оцінювання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щодо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(споживання,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правил,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оцінка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знань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тощо)?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263808" w:rsidTr="00263808">
        <w:trPr>
          <w:trHeight w:val="113"/>
        </w:trPr>
        <w:tc>
          <w:tcPr>
            <w:tcW w:w="2565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8.1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працівників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2565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7,5</w:t>
            </w:r>
          </w:p>
        </w:tc>
      </w:tr>
      <w:tr w:rsidR="0079631D" w:rsidRPr="00263808" w:rsidTr="00263808">
        <w:trPr>
          <w:trHeight w:val="113"/>
        </w:trPr>
        <w:tc>
          <w:tcPr>
            <w:tcW w:w="2565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8.2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адміністрації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2565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7,5</w:t>
            </w:r>
          </w:p>
        </w:tc>
      </w:tr>
      <w:tr w:rsidR="0079631D" w:rsidRPr="00263808" w:rsidTr="00263808">
        <w:trPr>
          <w:trHeight w:val="113"/>
        </w:trPr>
        <w:tc>
          <w:tcPr>
            <w:tcW w:w="4616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балів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оцінки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«Моніторинг,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оцінка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зворотній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зв’язок»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263808" w:rsidTr="00263808">
        <w:trPr>
          <w:trHeight w:val="113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1D3"/>
            <w:tcMar>
              <w:top w:w="77" w:type="dxa"/>
              <w:left w:w="57" w:type="dxa"/>
              <w:bottom w:w="79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Нагадування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робочому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місці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57" w:type="dxa"/>
              <w:bottom w:w="79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57" w:type="dxa"/>
              <w:bottom w:w="79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Питання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57" w:type="dxa"/>
              <w:bottom w:w="79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Відповідь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(виберіть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лише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одну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відповідь)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57" w:type="dxa"/>
              <w:bottom w:w="79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Оцінка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(балів)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4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наступні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нагадування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робочому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місці?</w:t>
            </w:r>
          </w:p>
        </w:tc>
      </w:tr>
      <w:tr w:rsidR="0079631D" w:rsidRPr="00263808" w:rsidTr="00263808">
        <w:trPr>
          <w:trHeight w:val="113"/>
        </w:trPr>
        <w:tc>
          <w:tcPr>
            <w:tcW w:w="2565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1.1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Показання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практики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Відсутні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2565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деяких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</w:tr>
      <w:tr w:rsidR="0079631D" w:rsidRPr="00263808" w:rsidTr="00263808">
        <w:trPr>
          <w:trHeight w:val="113"/>
        </w:trPr>
        <w:tc>
          <w:tcPr>
            <w:tcW w:w="2565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більшості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</w:t>
            </w:r>
          </w:p>
        </w:tc>
      </w:tr>
      <w:tr w:rsidR="0079631D" w:rsidRPr="00263808" w:rsidTr="00263808">
        <w:trPr>
          <w:trHeight w:val="113"/>
        </w:trPr>
        <w:tc>
          <w:tcPr>
            <w:tcW w:w="2565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всіх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25</w:t>
            </w:r>
          </w:p>
        </w:tc>
      </w:tr>
      <w:tr w:rsidR="0079631D" w:rsidRPr="00263808" w:rsidTr="00263808">
        <w:trPr>
          <w:trHeight w:val="113"/>
        </w:trPr>
        <w:tc>
          <w:tcPr>
            <w:tcW w:w="2565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1.2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Пояснення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щодо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правильного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використання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диспенсерів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Відсутні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113"/>
        </w:trPr>
        <w:tc>
          <w:tcPr>
            <w:tcW w:w="2565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деяких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113"/>
        </w:trPr>
        <w:tc>
          <w:tcPr>
            <w:tcW w:w="2565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більшості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113"/>
        </w:trPr>
        <w:tc>
          <w:tcPr>
            <w:tcW w:w="2565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всіх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9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</w:tr>
    </w:tbl>
    <w:p w:rsidR="0079631D" w:rsidRPr="00263808" w:rsidRDefault="00D7600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"/>
        <w:gridCol w:w="7371"/>
        <w:gridCol w:w="6265"/>
        <w:gridCol w:w="1173"/>
      </w:tblGrid>
      <w:tr w:rsidR="0079631D" w:rsidRPr="00263808" w:rsidTr="00263808">
        <w:trPr>
          <w:trHeight w:val="277"/>
        </w:trPr>
        <w:tc>
          <w:tcPr>
            <w:tcW w:w="256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1.3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Техніка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обробки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</w:p>
        </w:tc>
        <w:tc>
          <w:tcPr>
            <w:tcW w:w="20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Відсутні</w:t>
            </w:r>
          </w:p>
        </w:tc>
        <w:tc>
          <w:tcPr>
            <w:tcW w:w="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77"/>
        </w:trPr>
        <w:tc>
          <w:tcPr>
            <w:tcW w:w="256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деяких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277"/>
        </w:trPr>
        <w:tc>
          <w:tcPr>
            <w:tcW w:w="256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більшості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7,5</w:t>
            </w:r>
          </w:p>
        </w:tc>
      </w:tr>
      <w:tr w:rsidR="0079631D" w:rsidRPr="00263808" w:rsidTr="00263808">
        <w:trPr>
          <w:trHeight w:val="277"/>
        </w:trPr>
        <w:tc>
          <w:tcPr>
            <w:tcW w:w="256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всіх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277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часто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проходить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систематична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перевірка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наявності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пошкоджених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нагадувань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їх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разі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необхідності?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проводиться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77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Щорічно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277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Кожні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2–3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місяці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</w:tr>
      <w:tr w:rsidR="0079631D" w:rsidRPr="00263808" w:rsidTr="00263808">
        <w:trPr>
          <w:trHeight w:val="277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проводиться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виготовлення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розміщення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власних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(відмінних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вищенаведених)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нагадувань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метою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популяризації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ЗОЗ/ЗСЗ?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77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277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будь-які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нагадування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щодо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палатах/кімнатах?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77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8" w:type="dxa"/>
              <w:bottom w:w="77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60"/>
        </w:trPr>
        <w:tc>
          <w:tcPr>
            <w:tcW w:w="15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нагадування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робочому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місці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(наліпки,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значки,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стенди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тощо)?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60"/>
        </w:trPr>
        <w:tc>
          <w:tcPr>
            <w:tcW w:w="15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</w:tr>
      <w:tr w:rsidR="0079631D" w:rsidRPr="00263808" w:rsidTr="00263808">
        <w:trPr>
          <w:trHeight w:val="113"/>
        </w:trPr>
        <w:tc>
          <w:tcPr>
            <w:tcW w:w="4616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балів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оцінки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«Нагадування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робочому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місці»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263808" w:rsidTr="00263808">
        <w:trPr>
          <w:trHeight w:val="113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1D3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Культура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дотримання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рук</w:t>
            </w:r>
          </w:p>
        </w:tc>
      </w:tr>
      <w:tr w:rsidR="0079631D" w:rsidRPr="00263808" w:rsidTr="00263808">
        <w:trPr>
          <w:trHeight w:val="113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№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Питання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Оцінка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(балів)</w:t>
            </w:r>
          </w:p>
        </w:tc>
      </w:tr>
      <w:tr w:rsidR="0079631D" w:rsidRPr="00263808" w:rsidTr="00263808">
        <w:trPr>
          <w:trHeight w:val="103"/>
        </w:trPr>
        <w:tc>
          <w:tcPr>
            <w:tcW w:w="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4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Команда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(щонайменше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—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координатор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інструктор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спостерігач,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спеціаліст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збору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аналізу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даних),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займається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реалізацією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заходів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покращення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ЗОЗ/ЗСЗ:</w:t>
            </w:r>
          </w:p>
        </w:tc>
      </w:tr>
      <w:tr w:rsidR="0079631D" w:rsidRPr="00263808" w:rsidTr="00263808">
        <w:trPr>
          <w:trHeight w:val="258"/>
        </w:trPr>
        <w:tc>
          <w:tcPr>
            <w:tcW w:w="2565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1.1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Створена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70"/>
        </w:trPr>
        <w:tc>
          <w:tcPr>
            <w:tcW w:w="2565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</w:tbl>
    <w:p w:rsidR="0079631D" w:rsidRPr="00263808" w:rsidRDefault="00D7600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"/>
        <w:gridCol w:w="7527"/>
        <w:gridCol w:w="6396"/>
        <w:gridCol w:w="898"/>
      </w:tblGrid>
      <w:tr w:rsidR="0079631D" w:rsidRPr="00263808" w:rsidTr="00263808">
        <w:trPr>
          <w:trHeight w:val="245"/>
        </w:trPr>
        <w:tc>
          <w:tcPr>
            <w:tcW w:w="261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1.2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Зустрічається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регулярно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(щонайменше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один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місяць)</w:t>
            </w:r>
          </w:p>
        </w:tc>
        <w:tc>
          <w:tcPr>
            <w:tcW w:w="20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45"/>
        </w:trPr>
        <w:tc>
          <w:tcPr>
            <w:tcW w:w="2612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245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1.3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команди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виділений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активної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популяризації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(наприклад,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затверджений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керівником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план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виділеним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часом)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45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245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5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мають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наступні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представники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адміністрації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зобов’язання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(оформлене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письмовій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формі)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підтримувати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впровадження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покращення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рук?</w:t>
            </w:r>
          </w:p>
        </w:tc>
      </w:tr>
      <w:tr w:rsidR="0079631D" w:rsidRPr="00263808" w:rsidTr="00263808">
        <w:trPr>
          <w:trHeight w:val="245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2.1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Керівник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45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245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2.2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Медичний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директор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заступник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керівника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45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245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2.3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Головна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сестра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медична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керівник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ЗСЗ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45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245"/>
        </w:trPr>
        <w:tc>
          <w:tcPr>
            <w:tcW w:w="14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затверджений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довгостроковий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план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покращення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(щонайменше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п’ятирічний)?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245"/>
        </w:trPr>
        <w:tc>
          <w:tcPr>
            <w:tcW w:w="14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245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85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існує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винайдення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чемпіонів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потенційних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координаторів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рук?</w:t>
            </w:r>
          </w:p>
        </w:tc>
      </w:tr>
      <w:tr w:rsidR="0079631D" w:rsidRPr="00263808" w:rsidTr="00263808">
        <w:trPr>
          <w:trHeight w:val="245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винайдення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чемпіонів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(працівник,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цілковито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виступає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стандартів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тому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числі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популяризує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їх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своєму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структурному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цілому)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347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245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винайдення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потенційних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координаторів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(працівник,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який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служить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прикладом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наслідування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(відсоток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правил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більше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80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%),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здатен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переконувати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працівників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необхідності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практик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правил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має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хист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викладацької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діяльності)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522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8" w:type="dxa"/>
              <w:bottom w:w="62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113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85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Участь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пацієнтів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заходах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покращення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5.1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Пацієнти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інформовані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щодо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необхідності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правил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практик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(наприклад,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видаються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листівки)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5.2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Реалізовується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програма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залучення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пацієнтів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покращення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(наприклад,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проводиться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навчання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щодо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показань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техніки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рук)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</w:tr>
      <w:tr w:rsidR="0079631D" w:rsidRPr="00263808" w:rsidTr="00263808">
        <w:trPr>
          <w:trHeight w:val="60"/>
        </w:trPr>
        <w:tc>
          <w:tcPr>
            <w:tcW w:w="1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85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використовуються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заходи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щодо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підтримки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постійного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покращення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як: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6.1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Онлайн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дистанційне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навчання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6.2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Цілі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задачі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покращення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встановлюються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щорічно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6.3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Обмін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між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досвідом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впровадження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інноваційних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заходів/рішень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6.4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масових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заходів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висвітленням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необхідності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подальшої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підтримки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покращення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та/або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випуск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внутрішнього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інформаційного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бюлетеня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6.5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персональної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відповідальності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(наприклад,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відмінні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показники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дотриманні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практик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заохочуються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премією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виборі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працівника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підвищення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враховується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вищезгадані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показники)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6.6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наставництва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(кожному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новому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працівнику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виділяється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наставник,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бере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себе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відповідальність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ознайомлення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його(її)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заходами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ЗОЗ/ЗСЗ)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</w:t>
            </w:r>
          </w:p>
        </w:tc>
      </w:tr>
      <w:tr w:rsidR="0079631D" w:rsidRPr="00263808" w:rsidTr="00263808">
        <w:trPr>
          <w:trHeight w:val="60"/>
        </w:trPr>
        <w:tc>
          <w:tcPr>
            <w:tcW w:w="2612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D" w:rsidRPr="00263808" w:rsidRDefault="0079631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</w:tr>
      <w:tr w:rsidR="0079631D" w:rsidRPr="00263808" w:rsidTr="00263808">
        <w:trPr>
          <w:trHeight w:val="70"/>
        </w:trPr>
        <w:tc>
          <w:tcPr>
            <w:tcW w:w="4706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балів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оцінки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«Культура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дотримання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рук»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263808" w:rsidRDefault="00D7600D" w:rsidP="0079631D">
      <w:pPr>
        <w:shd w:val="clear" w:color="auto" w:fill="FFFFFF"/>
        <w:spacing w:before="100" w:after="225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  <w:sectPr w:rsidR="00263808" w:rsidSect="00263808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9631D" w:rsidRPr="00263808" w:rsidRDefault="0079631D" w:rsidP="0079631D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ІІІ.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Таблиця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результатів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оцінки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7"/>
        <w:gridCol w:w="8474"/>
        <w:gridCol w:w="1368"/>
      </w:tblGrid>
      <w:tr w:rsidR="0079631D" w:rsidRPr="00263808" w:rsidTr="00263808">
        <w:trPr>
          <w:trHeight w:val="113"/>
        </w:trPr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1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Розділ</w:t>
            </w:r>
          </w:p>
        </w:tc>
        <w:tc>
          <w:tcPr>
            <w:tcW w:w="6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Оцінка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(балів)</w:t>
            </w:r>
          </w:p>
        </w:tc>
      </w:tr>
      <w:tr w:rsidR="0079631D" w:rsidRPr="00263808" w:rsidTr="00263808">
        <w:trPr>
          <w:trHeight w:val="113"/>
        </w:trPr>
        <w:tc>
          <w:tcPr>
            <w:tcW w:w="2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Зміни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системі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263808" w:rsidTr="00263808">
        <w:trPr>
          <w:trHeight w:val="113"/>
        </w:trPr>
        <w:tc>
          <w:tcPr>
            <w:tcW w:w="2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Навчання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підготовка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263808" w:rsidTr="00263808">
        <w:trPr>
          <w:trHeight w:val="113"/>
        </w:trPr>
        <w:tc>
          <w:tcPr>
            <w:tcW w:w="2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Моніторинг,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аудит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зворотній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зв’язок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263808" w:rsidTr="00263808">
        <w:trPr>
          <w:trHeight w:val="113"/>
        </w:trPr>
        <w:tc>
          <w:tcPr>
            <w:tcW w:w="2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Нагадування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робочому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місці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263808" w:rsidTr="00263808">
        <w:trPr>
          <w:trHeight w:val="113"/>
        </w:trPr>
        <w:tc>
          <w:tcPr>
            <w:tcW w:w="2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Культура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дотримання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рук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263808" w:rsidTr="00263808">
        <w:trPr>
          <w:trHeight w:val="113"/>
        </w:trPr>
        <w:tc>
          <w:tcPr>
            <w:tcW w:w="43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Загальна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сума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балів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оцінки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9631D" w:rsidRPr="00263808" w:rsidRDefault="00D7600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9631D" w:rsidRPr="00263808" w:rsidRDefault="0079631D" w:rsidP="0079631D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ІV.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Таблиця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інтерпретації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результатів</w:t>
      </w:r>
      <w:r w:rsidR="00D7600D"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6380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оцінки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97"/>
        <w:gridCol w:w="4322"/>
      </w:tblGrid>
      <w:tr w:rsidR="0079631D" w:rsidRPr="00263808" w:rsidTr="00263808">
        <w:trPr>
          <w:trHeight w:val="77"/>
        </w:trPr>
        <w:tc>
          <w:tcPr>
            <w:tcW w:w="2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сума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балів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оцінки</w:t>
            </w:r>
          </w:p>
        </w:tc>
        <w:tc>
          <w:tcPr>
            <w:tcW w:w="20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9631D" w:rsidRPr="00263808" w:rsidRDefault="0079631D" w:rsidP="0079631D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Рівень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гігієни</w:t>
            </w:r>
            <w:r w:rsidR="00D7600D"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38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рук</w:t>
            </w:r>
          </w:p>
        </w:tc>
      </w:tr>
      <w:tr w:rsidR="0079631D" w:rsidRPr="00263808" w:rsidTr="00263808">
        <w:trPr>
          <w:trHeight w:val="77"/>
        </w:trPr>
        <w:tc>
          <w:tcPr>
            <w:tcW w:w="29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0–125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Незадовільний</w:t>
            </w:r>
          </w:p>
        </w:tc>
      </w:tr>
      <w:tr w:rsidR="0079631D" w:rsidRPr="00263808" w:rsidTr="00263808">
        <w:trPr>
          <w:trHeight w:val="77"/>
        </w:trPr>
        <w:tc>
          <w:tcPr>
            <w:tcW w:w="29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126–250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Базовий</w:t>
            </w:r>
          </w:p>
        </w:tc>
      </w:tr>
      <w:tr w:rsidR="0079631D" w:rsidRPr="00263808" w:rsidTr="00263808">
        <w:trPr>
          <w:trHeight w:val="77"/>
        </w:trPr>
        <w:tc>
          <w:tcPr>
            <w:tcW w:w="29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251–375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Середній</w:t>
            </w:r>
          </w:p>
        </w:tc>
      </w:tr>
      <w:tr w:rsidR="0079631D" w:rsidRPr="00263808" w:rsidTr="00263808">
        <w:trPr>
          <w:trHeight w:val="77"/>
        </w:trPr>
        <w:tc>
          <w:tcPr>
            <w:tcW w:w="290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376–500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263808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380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Достатній</w:t>
            </w:r>
          </w:p>
        </w:tc>
      </w:tr>
    </w:tbl>
    <w:p w:rsidR="0079631D" w:rsidRPr="00263808" w:rsidRDefault="00D7600D" w:rsidP="00C50030">
      <w:pPr>
        <w:shd w:val="clear" w:color="auto" w:fill="FFFFFF"/>
        <w:spacing w:before="100" w:after="225" w:line="288" w:lineRule="atLeast"/>
        <w:rPr>
          <w:sz w:val="24"/>
          <w:szCs w:val="24"/>
          <w:lang w:eastAsia="uk-UA"/>
        </w:rPr>
      </w:pPr>
      <w:r w:rsidRPr="00263808">
        <w:rPr>
          <w:sz w:val="24"/>
          <w:szCs w:val="24"/>
          <w:lang w:eastAsia="uk-UA"/>
        </w:rPr>
        <w:t xml:space="preserve"> </w:t>
      </w:r>
    </w:p>
    <w:sectPr w:rsidR="0079631D" w:rsidRPr="00263808" w:rsidSect="0026380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ABF"/>
    <w:multiLevelType w:val="multilevel"/>
    <w:tmpl w:val="C218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D0403"/>
    <w:multiLevelType w:val="multilevel"/>
    <w:tmpl w:val="4ED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213C3"/>
    <w:multiLevelType w:val="multilevel"/>
    <w:tmpl w:val="8FBC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1D"/>
    <w:rsid w:val="00170A3E"/>
    <w:rsid w:val="00263808"/>
    <w:rsid w:val="00400C3D"/>
    <w:rsid w:val="00702DB3"/>
    <w:rsid w:val="0079631D"/>
    <w:rsid w:val="007C6A40"/>
    <w:rsid w:val="009510F0"/>
    <w:rsid w:val="009A6A2E"/>
    <w:rsid w:val="009C1A0C"/>
    <w:rsid w:val="00A078BD"/>
    <w:rsid w:val="00A138EA"/>
    <w:rsid w:val="00BA4A5F"/>
    <w:rsid w:val="00C50030"/>
    <w:rsid w:val="00CA617C"/>
    <w:rsid w:val="00CE1B9F"/>
    <w:rsid w:val="00D40211"/>
    <w:rsid w:val="00D5149F"/>
    <w:rsid w:val="00D7600D"/>
    <w:rsid w:val="00DB0C60"/>
    <w:rsid w:val="00E42424"/>
    <w:rsid w:val="00E8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4A7E7-4228-4D40-AFA8-ADA8A418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7963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79631D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79631D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79631D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basedOn w:val="a0"/>
    <w:qFormat/>
    <w:rsid w:val="0079631D"/>
    <w:rPr>
      <w:rFonts w:cs="Times New Roman"/>
      <w:i/>
      <w:iCs/>
    </w:rPr>
  </w:style>
  <w:style w:type="paragraph" w:customStyle="1" w:styleId="formulaformula">
    <w:name w:val="formulaformul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eformula">
    <w:name w:val="deformul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qFormat/>
    <w:rsid w:val="0079631D"/>
    <w:rPr>
      <w:rFonts w:cs="Times New Roman"/>
      <w:b/>
      <w:bCs/>
    </w:rPr>
  </w:style>
  <w:style w:type="paragraph" w:customStyle="1" w:styleId="ch6f0">
    <w:name w:val="ch6f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79631D"/>
    <w:rPr>
      <w:rFonts w:cs="Times New Roman"/>
    </w:rPr>
  </w:style>
  <w:style w:type="paragraph" w:customStyle="1" w:styleId="tableshapkatabl">
    <w:name w:val="tableshapka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2">
    <w:name w:val="snoskasnoski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-ch3">
    <w:name w:val="-ch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d">
    <w:name w:val="ch6d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0">
    <w:name w:val="snoskasnoski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a">
    <w:name w:val="ch6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0">
    <w:name w:val="tabl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bigtabl">
    <w:name w:val="tableshapkabig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bigtabl">
    <w:name w:val="tablebig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a0"/>
    <w:rsid w:val="0079631D"/>
    <w:rPr>
      <w:rFonts w:cs="Times New Roman"/>
    </w:rPr>
  </w:style>
  <w:style w:type="character" w:customStyle="1" w:styleId="word1wordrtf0">
    <w:name w:val="word1wordrtf0"/>
    <w:basedOn w:val="a0"/>
    <w:rsid w:val="0079631D"/>
    <w:rPr>
      <w:rFonts w:cs="Times New Roman"/>
    </w:rPr>
  </w:style>
  <w:style w:type="paragraph" w:customStyle="1" w:styleId="ch6f3">
    <w:name w:val="ch6f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15">
    <w:name w:val="ch15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6">
    <w:name w:val="ch6f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8">
    <w:name w:val="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1">
    <w:name w:val="snoskasnoski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3">
    <w:name w:val="ch5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">
    <w:name w:val="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79631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semiHidden/>
    <w:locked/>
    <w:rsid w:val="0079631D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79631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semiHidden/>
    <w:locked/>
    <w:rsid w:val="0079631D"/>
    <w:rPr>
      <w:rFonts w:ascii="Arial" w:hAnsi="Arial" w:cs="Arial"/>
      <w:vanish/>
      <w:sz w:val="16"/>
      <w:szCs w:val="16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6433</Words>
  <Characters>3668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2</cp:revision>
  <dcterms:created xsi:type="dcterms:W3CDTF">2021-12-06T11:13:00Z</dcterms:created>
  <dcterms:modified xsi:type="dcterms:W3CDTF">2021-12-06T11:13:00Z</dcterms:modified>
</cp:coreProperties>
</file>