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CF7DD">
    <v:background id="_x0000_s1025" o:bwmode="white" fillcolor="#fcf7dd">
      <v:fill r:id="rId2" type="tile"/>
    </v:background>
  </w:background>
  <w:body>
    <w:p w:rsidR="001555CD" w:rsidRDefault="001555CD" w:rsidP="006322FE">
      <w:pPr>
        <w:pStyle w:val="NormalWeb"/>
        <w:ind w:left="5580"/>
        <w:divId w:val="1553538615"/>
      </w:pPr>
      <w:bookmarkStart w:id="0" w:name="26"/>
      <w:bookmarkEnd w:id="0"/>
      <w:r>
        <w:t>ЗАТВЕРДЖЕНО</w:t>
      </w:r>
      <w:r>
        <w:br/>
        <w:t>Наказ Мінекономіки</w:t>
      </w:r>
      <w:r>
        <w:br/>
        <w:t>20 липня 2022 року № 2202</w:t>
      </w:r>
    </w:p>
    <w:p w:rsidR="001555CD" w:rsidRDefault="001555CD">
      <w:pPr>
        <w:pStyle w:val="Heading3"/>
        <w:jc w:val="center"/>
        <w:divId w:val="1553538615"/>
      </w:pPr>
      <w:bookmarkStart w:id="1" w:name="27"/>
      <w:bookmarkEnd w:id="1"/>
      <w:r>
        <w:t>ТИПОВИЙ ДОГОВІР</w:t>
      </w:r>
      <w:r>
        <w:br/>
        <w:t>про створення та функціонування індустріального парку</w:t>
      </w:r>
    </w:p>
    <w:tbl>
      <w:tblPr>
        <w:tblW w:w="5000" w:type="pct"/>
        <w:tblLook w:val="0000"/>
      </w:tblPr>
      <w:tblGrid>
        <w:gridCol w:w="4064"/>
        <w:gridCol w:w="6357"/>
      </w:tblGrid>
      <w:tr w:rsidR="001555CD" w:rsidTr="00D62DC3">
        <w:trPr>
          <w:divId w:val="1553538615"/>
        </w:trPr>
        <w:tc>
          <w:tcPr>
            <w:tcW w:w="1950" w:type="pct"/>
          </w:tcPr>
          <w:p w:rsidR="001555CD" w:rsidRDefault="001555CD">
            <w:pPr>
              <w:pStyle w:val="NormalWeb"/>
              <w:jc w:val="center"/>
            </w:pPr>
            <w:bookmarkStart w:id="2" w:name="28"/>
            <w:bookmarkEnd w:id="2"/>
            <w:r>
              <w:t>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населеного пункту)</w:t>
            </w:r>
          </w:p>
        </w:tc>
        <w:tc>
          <w:tcPr>
            <w:tcW w:w="3050" w:type="pct"/>
          </w:tcPr>
          <w:p w:rsidR="001555CD" w:rsidRDefault="001555CD">
            <w:pPr>
              <w:pStyle w:val="NormalWeb"/>
              <w:jc w:val="right"/>
            </w:pPr>
            <w:bookmarkStart w:id="3" w:name="29"/>
            <w:bookmarkEnd w:id="3"/>
            <w:r>
              <w:t>___ ____________ 20__ року</w:t>
            </w:r>
          </w:p>
        </w:tc>
      </w:tr>
    </w:tbl>
    <w:p w:rsidR="001555CD" w:rsidRDefault="001555CD">
      <w:pPr>
        <w:spacing w:before="0" w:beforeAutospacing="0" w:after="0" w:afterAutospacing="0"/>
        <w:divId w:val="1553538615"/>
      </w:pPr>
    </w:p>
    <w:tbl>
      <w:tblPr>
        <w:tblW w:w="5000" w:type="pct"/>
        <w:tblLook w:val="0000"/>
      </w:tblPr>
      <w:tblGrid>
        <w:gridCol w:w="10476"/>
      </w:tblGrid>
      <w:tr w:rsidR="001555CD" w:rsidTr="00D62DC3">
        <w:trPr>
          <w:divId w:val="1553538615"/>
        </w:trPr>
        <w:tc>
          <w:tcPr>
            <w:tcW w:w="5000" w:type="pct"/>
          </w:tcPr>
          <w:p w:rsidR="001555CD" w:rsidRDefault="001555CD">
            <w:pPr>
              <w:pStyle w:val="NormalWeb"/>
              <w:jc w:val="center"/>
            </w:pPr>
            <w:bookmarkStart w:id="4" w:name="30"/>
            <w:bookmarkEnd w:id="4"/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                (найменування або прізвище, ім'я, по батькові (за наявності) ініціатора створення індустріального парку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                             (відповідно до пункту 4 частини першої статті 1 Закону України "Про індустріальні парки"))</w:t>
            </w:r>
            <w:r>
              <w:rPr>
                <w:sz w:val="20"/>
                <w:szCs w:val="20"/>
              </w:rPr>
              <w:br/>
            </w:r>
            <w:r>
              <w:t>(далі - ініціатор) в особі ________________________________________________________________,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 xml:space="preserve">                                        (посада, прізвище, ім'я та по батькові (за наявності) - зазначається для органів державної влади,</w:t>
            </w:r>
            <w:r>
              <w:rPr>
                <w:sz w:val="20"/>
                <w:szCs w:val="20"/>
              </w:rPr>
              <w:br/>
              <w:t xml:space="preserve">                                                                       органів місцевого самоврядування, інших юридичних осіб)</w:t>
            </w:r>
            <w:r>
              <w:rPr>
                <w:sz w:val="20"/>
                <w:szCs w:val="20"/>
              </w:rPr>
              <w:br/>
            </w:r>
            <w:r>
              <w:t>що діє на підставі 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                                     (назва документа - зазначається для органів державної влади, органів місцевого самоврядування,</w:t>
            </w:r>
            <w:r>
              <w:rPr>
                <w:sz w:val="20"/>
                <w:szCs w:val="20"/>
              </w:rPr>
              <w:br/>
              <w:t xml:space="preserve">                                                              інших юридичних осіб)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з однієї сторони, і 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                                                                 (найменування юридичної особи, яка після підписання цього договору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набуває статусу керуючої компанії (відповідно до пункту 5 частини першої статті 1 Закону України "Про індустріальні парки"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r>
              <w:rPr>
                <w:sz w:val="20"/>
                <w:szCs w:val="20"/>
              </w:rPr>
              <w:br/>
            </w:r>
            <w:r>
              <w:t>(далі - керуюча компанія) в особі ________________________________________________________,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(посада, прізвище, ім'я та по батькові (за наявності)</w:t>
            </w:r>
            <w:r>
              <w:rPr>
                <w:sz w:val="20"/>
                <w:szCs w:val="20"/>
              </w:rPr>
              <w:br/>
            </w:r>
            <w:r>
              <w:t>що діє на підставі 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(назва документа)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_____________________________________________________________________________________,</w:t>
            </w:r>
            <w:r>
              <w:br/>
              <w:t>з іншої сторони, на основі рішення про створення індустріального парку уклали цей договір про нижченаведене:</w:t>
            </w:r>
          </w:p>
        </w:tc>
      </w:tr>
    </w:tbl>
    <w:p w:rsidR="001555CD" w:rsidRDefault="001555CD">
      <w:pPr>
        <w:pStyle w:val="Heading3"/>
        <w:jc w:val="center"/>
        <w:divId w:val="1553538615"/>
      </w:pPr>
      <w:bookmarkStart w:id="5" w:name="31"/>
      <w:bookmarkEnd w:id="5"/>
      <w:r>
        <w:t>I. Предмет договору</w:t>
      </w:r>
    </w:p>
    <w:tbl>
      <w:tblPr>
        <w:tblW w:w="5000" w:type="pct"/>
        <w:tblLook w:val="0000"/>
      </w:tblPr>
      <w:tblGrid>
        <w:gridCol w:w="10421"/>
      </w:tblGrid>
      <w:tr w:rsidR="001555CD" w:rsidTr="00D62DC3">
        <w:trPr>
          <w:divId w:val="1553538615"/>
        </w:trPr>
        <w:tc>
          <w:tcPr>
            <w:tcW w:w="5000" w:type="pct"/>
          </w:tcPr>
          <w:p w:rsidR="001555CD" w:rsidRDefault="001555CD">
            <w:pPr>
              <w:pStyle w:val="NormalWeb"/>
            </w:pPr>
            <w:bookmarkStart w:id="6" w:name="32"/>
            <w:bookmarkEnd w:id="6"/>
            <w:r>
              <w:t>1.1. Ініціатор і керуюча компанія відповідно до умов цього договору, бізнес-плану та концепції індустріального парку зобов'язуються виконувати комплекс робіт і послуг з підготовки земельних ділянок, а також проектування, будівництва, реконструкції, ремонту та облаштування об'єктів інженерно-транспортної інфраструктури чи інших об'єктів з метою створення належних умов для здійснення учасниками, іншими суб'єктами індустріального парку господарської діяльності в його межах та забезпечувати функціонування індустріального парку, ініціатор також зобов'язується здійснювати комплекс заходів, необхідних для виконання керуючою компанією своїх обов'язків за цим договором.</w:t>
            </w:r>
          </w:p>
          <w:p w:rsidR="001555CD" w:rsidRDefault="001555CD">
            <w:pPr>
              <w:pStyle w:val="NormalWeb"/>
            </w:pPr>
            <w:bookmarkStart w:id="7" w:name="33"/>
            <w:bookmarkEnd w:id="7"/>
            <w:r>
              <w:t>1.2. За цим договором створюється та забезпечується функціонування індустріального парку _____________________________, розташованого на земельних ділянках загальною площею ____.</w:t>
            </w:r>
            <w:r>
              <w:br/>
            </w:r>
            <w:r>
              <w:rPr>
                <w:sz w:val="20"/>
                <w:szCs w:val="20"/>
              </w:rPr>
              <w:t xml:space="preserve">                                  (назва)</w:t>
            </w:r>
          </w:p>
          <w:p w:rsidR="001555CD" w:rsidRDefault="001555CD">
            <w:pPr>
              <w:pStyle w:val="NormalWeb"/>
            </w:pPr>
            <w:bookmarkStart w:id="8" w:name="34"/>
            <w:bookmarkEnd w:id="8"/>
            <w:r>
              <w:t>1.3. Перелік земельних ділянок із зазначенням їх площі, кадастрових номерів, інших даних із викопіюванням з кадастрової карти (плану) щодо місця їх розташування додається до цього договору.</w:t>
            </w:r>
          </w:p>
          <w:p w:rsidR="001555CD" w:rsidRDefault="001555CD">
            <w:pPr>
              <w:pStyle w:val="NormalWeb"/>
            </w:pPr>
            <w:bookmarkStart w:id="9" w:name="35"/>
            <w:bookmarkEnd w:id="9"/>
            <w:r>
              <w:t>1.4. Строк, на який створюється індустріальний парк, - ____________________________________.</w:t>
            </w:r>
          </w:p>
        </w:tc>
      </w:tr>
    </w:tbl>
    <w:p w:rsidR="001555CD" w:rsidRDefault="001555CD">
      <w:pPr>
        <w:pStyle w:val="Heading3"/>
        <w:jc w:val="center"/>
        <w:divId w:val="1553538615"/>
      </w:pPr>
      <w:bookmarkStart w:id="10" w:name="36"/>
      <w:bookmarkEnd w:id="10"/>
      <w:r>
        <w:t>II. Порядок виконання договору</w:t>
      </w:r>
    </w:p>
    <w:tbl>
      <w:tblPr>
        <w:tblW w:w="5000" w:type="pct"/>
        <w:tblLook w:val="0000"/>
      </w:tblPr>
      <w:tblGrid>
        <w:gridCol w:w="10421"/>
      </w:tblGrid>
      <w:tr w:rsidR="001555CD" w:rsidTr="00D62DC3">
        <w:trPr>
          <w:divId w:val="1553538615"/>
        </w:trPr>
        <w:tc>
          <w:tcPr>
            <w:tcW w:w="5000" w:type="pct"/>
          </w:tcPr>
          <w:p w:rsidR="001555CD" w:rsidRDefault="001555CD">
            <w:pPr>
              <w:pStyle w:val="NormalWeb"/>
            </w:pPr>
            <w:bookmarkStart w:id="11" w:name="37"/>
            <w:bookmarkEnd w:id="11"/>
            <w:r>
              <w:t>2.1. Облаштування індустріального парку.</w:t>
            </w:r>
          </w:p>
          <w:p w:rsidR="001555CD" w:rsidRDefault="001555CD">
            <w:pPr>
              <w:pStyle w:val="NormalWeb"/>
            </w:pPr>
            <w:bookmarkStart w:id="12" w:name="38"/>
            <w:bookmarkEnd w:id="12"/>
            <w:r>
              <w:t>2.1.1. Порядок облаштування індустріального парку</w:t>
            </w:r>
            <w:r>
              <w:br/>
              <w:t>____________________________________________________________________________________</w:t>
            </w:r>
            <w:r>
              <w:br/>
              <w:t>____________________________________________________________________________________</w:t>
            </w:r>
          </w:p>
          <w:p w:rsidR="001555CD" w:rsidRDefault="001555CD">
            <w:pPr>
              <w:pStyle w:val="NormalWeb"/>
            </w:pPr>
            <w:bookmarkStart w:id="13" w:name="39"/>
            <w:bookmarkEnd w:id="13"/>
            <w:r>
              <w:t>2.1.2. Умови облаштування індустріального парку</w:t>
            </w:r>
            <w:r>
              <w:br/>
              <w:t>____________________________________________________________________________________</w:t>
            </w:r>
            <w:r>
              <w:br/>
              <w:t>____________________________________________________________________________________</w:t>
            </w:r>
          </w:p>
          <w:p w:rsidR="001555CD" w:rsidRDefault="001555CD">
            <w:pPr>
              <w:pStyle w:val="NormalWeb"/>
            </w:pPr>
            <w:bookmarkStart w:id="14" w:name="40"/>
            <w:bookmarkEnd w:id="14"/>
            <w:r>
              <w:t>2.2. Надання прав на земельні ділянки та об'єкти в межах індустріального парку.</w:t>
            </w:r>
          </w:p>
          <w:p w:rsidR="001555CD" w:rsidRDefault="001555CD">
            <w:pPr>
              <w:pStyle w:val="NormalWeb"/>
            </w:pPr>
            <w:bookmarkStart w:id="15" w:name="41"/>
            <w:bookmarkEnd w:id="15"/>
            <w:r>
              <w:t>2.2.1. Порядок надання прав на земельні ділянки та об'єкти в межах індустріального парку</w:t>
            </w:r>
            <w:r>
              <w:br/>
              <w:t>____________________________________________________________________________________</w:t>
            </w:r>
            <w:r>
              <w:br/>
              <w:t>____________________________________________________________________________________</w:t>
            </w:r>
          </w:p>
          <w:p w:rsidR="001555CD" w:rsidRDefault="001555CD">
            <w:pPr>
              <w:pStyle w:val="NormalWeb"/>
            </w:pPr>
            <w:bookmarkStart w:id="16" w:name="42"/>
            <w:bookmarkEnd w:id="16"/>
            <w:r>
              <w:t>2.2.2. Умови надання прав на земельні ділянки та об'єкти в межах індустріального парку</w:t>
            </w:r>
            <w:r>
              <w:br/>
              <w:t>____________________________________________________________________________________</w:t>
            </w:r>
            <w:r>
              <w:br/>
              <w:t>____________________________________________________________________________________</w:t>
            </w:r>
          </w:p>
          <w:p w:rsidR="001555CD" w:rsidRDefault="001555CD">
            <w:pPr>
              <w:pStyle w:val="NormalWeb"/>
            </w:pPr>
            <w:bookmarkStart w:id="17" w:name="43"/>
            <w:bookmarkEnd w:id="17"/>
            <w:r>
              <w:t>2.3. Залучення учасників індустріального парку.</w:t>
            </w:r>
          </w:p>
          <w:p w:rsidR="001555CD" w:rsidRDefault="001555CD">
            <w:pPr>
              <w:pStyle w:val="NormalWeb"/>
            </w:pPr>
            <w:bookmarkStart w:id="18" w:name="44"/>
            <w:bookmarkEnd w:id="18"/>
            <w:r>
              <w:t>2.3.1. Порядок залучення учасників індустріального парку</w:t>
            </w:r>
            <w:r>
              <w:br/>
              <w:t>____________________________________________________________________________________</w:t>
            </w:r>
            <w:r>
              <w:br/>
              <w:t>____________________________________________________________________________________</w:t>
            </w:r>
          </w:p>
          <w:p w:rsidR="001555CD" w:rsidRDefault="001555CD">
            <w:pPr>
              <w:pStyle w:val="NormalWeb"/>
            </w:pPr>
            <w:bookmarkStart w:id="19" w:name="45"/>
            <w:bookmarkEnd w:id="19"/>
            <w:r>
              <w:t>2.3.2. Умови залучення учасників індустріального парку</w:t>
            </w:r>
            <w:r>
              <w:br/>
              <w:t>____________________________________________________________________________________</w:t>
            </w:r>
            <w:r>
              <w:br/>
              <w:t>____________________________________________________________________________________</w:t>
            </w:r>
          </w:p>
          <w:p w:rsidR="001555CD" w:rsidRDefault="001555CD">
            <w:pPr>
              <w:pStyle w:val="NormalWeb"/>
            </w:pPr>
            <w:bookmarkStart w:id="20" w:name="46"/>
            <w:bookmarkEnd w:id="20"/>
            <w:r>
              <w:t>2.4. Правовий режим майна, створеного керуючою компанією в межах індустріального парку, та майна, переданого для використання, що є власністю ініціатора</w:t>
            </w:r>
            <w:r>
              <w:br/>
              <w:t>____________________________________________________________________________________</w:t>
            </w:r>
            <w:r>
              <w:br/>
              <w:t>____________________________________________________________________________________</w:t>
            </w:r>
          </w:p>
          <w:p w:rsidR="001555CD" w:rsidRDefault="001555CD">
            <w:pPr>
              <w:pStyle w:val="NormalWeb"/>
            </w:pPr>
            <w:bookmarkStart w:id="21" w:name="47"/>
            <w:bookmarkEnd w:id="21"/>
            <w:r>
              <w:t>2.5. Страхування активів ініціатора.</w:t>
            </w:r>
          </w:p>
          <w:p w:rsidR="001555CD" w:rsidRDefault="001555CD">
            <w:pPr>
              <w:pStyle w:val="NormalWeb"/>
            </w:pPr>
            <w:bookmarkStart w:id="22" w:name="48"/>
            <w:bookmarkEnd w:id="22"/>
            <w:r>
              <w:t>2.5.1. Керуюча компанія зобов'язана здійснити страхування таких активів ініціатора:</w:t>
            </w:r>
            <w:r>
              <w:br/>
              <w:t>____________________________________________________________________________________</w:t>
            </w:r>
            <w:r>
              <w:br/>
              <w:t>____________________________________________________________________________________</w:t>
            </w:r>
          </w:p>
          <w:p w:rsidR="001555CD" w:rsidRDefault="001555CD">
            <w:pPr>
              <w:pStyle w:val="NormalWeb"/>
            </w:pPr>
            <w:bookmarkStart w:id="23" w:name="49"/>
            <w:bookmarkEnd w:id="23"/>
            <w:r>
              <w:t>2.5.2. Страхування зазначених активів здійснюється в такому порядку:</w:t>
            </w:r>
            <w:r>
              <w:br/>
              <w:t>____________________________________________________________________________________</w:t>
            </w:r>
            <w:r>
              <w:br/>
              <w:t>____________________________________________________________________________________</w:t>
            </w:r>
          </w:p>
          <w:p w:rsidR="001555CD" w:rsidRDefault="001555CD">
            <w:pPr>
              <w:pStyle w:val="NormalWeb"/>
            </w:pPr>
            <w:bookmarkStart w:id="24" w:name="50"/>
            <w:bookmarkEnd w:id="24"/>
            <w:r>
              <w:t>2.5.3. Умови страхування активів</w:t>
            </w:r>
            <w:r>
              <w:br/>
              <w:t>____________________________________________________________________________________</w:t>
            </w:r>
            <w:r>
              <w:br/>
              <w:t>____________________________________________________________________________________</w:t>
            </w:r>
          </w:p>
          <w:p w:rsidR="001555CD" w:rsidRDefault="001555CD">
            <w:pPr>
              <w:pStyle w:val="NormalWeb"/>
            </w:pPr>
            <w:bookmarkStart w:id="25" w:name="51"/>
            <w:bookmarkEnd w:id="25"/>
            <w:r>
              <w:t>2.6. Надання керуючою компанією щопіврічної звітності.</w:t>
            </w:r>
          </w:p>
          <w:p w:rsidR="001555CD" w:rsidRDefault="001555CD">
            <w:pPr>
              <w:pStyle w:val="NormalWeb"/>
            </w:pPr>
            <w:bookmarkStart w:id="26" w:name="52"/>
            <w:bookmarkEnd w:id="26"/>
            <w:r>
              <w:t>2.6.1. Склад звітності, що подається</w:t>
            </w:r>
            <w:r>
              <w:br/>
              <w:t>____________________________________________________________________________________</w:t>
            </w:r>
          </w:p>
          <w:p w:rsidR="001555CD" w:rsidRDefault="001555CD">
            <w:pPr>
              <w:pStyle w:val="NormalWeb"/>
            </w:pPr>
            <w:bookmarkStart w:id="27" w:name="53"/>
            <w:bookmarkEnd w:id="27"/>
            <w:r>
              <w:t>2.6.2. Порядок і строки подання звітності</w:t>
            </w:r>
            <w:r>
              <w:br/>
              <w:t>____________________________________________________________________________________</w:t>
            </w:r>
            <w:r>
              <w:br/>
              <w:t>____________________________________________________________________________________</w:t>
            </w:r>
          </w:p>
          <w:p w:rsidR="001555CD" w:rsidRDefault="001555CD">
            <w:pPr>
              <w:pStyle w:val="NormalWeb"/>
            </w:pPr>
            <w:bookmarkStart w:id="28" w:name="54"/>
            <w:bookmarkEnd w:id="28"/>
            <w:r>
              <w:t>2.7. Наукова діяльність у межах індустріального парку.</w:t>
            </w:r>
          </w:p>
          <w:p w:rsidR="001555CD" w:rsidRDefault="001555CD">
            <w:pPr>
              <w:pStyle w:val="NormalWeb"/>
            </w:pPr>
            <w:bookmarkStart w:id="29" w:name="55"/>
            <w:bookmarkEnd w:id="29"/>
            <w:r>
              <w:t>2.7.1. Порядок здійснення наукової діяльності</w:t>
            </w:r>
            <w:r>
              <w:br/>
              <w:t>____________________________________________________________________________________</w:t>
            </w:r>
            <w:r>
              <w:br/>
              <w:t>____________________________________________________________________________________</w:t>
            </w:r>
          </w:p>
          <w:p w:rsidR="001555CD" w:rsidRDefault="001555CD">
            <w:pPr>
              <w:pStyle w:val="NormalWeb"/>
            </w:pPr>
            <w:bookmarkStart w:id="30" w:name="56"/>
            <w:bookmarkEnd w:id="30"/>
            <w:r>
              <w:t>2.7.2. Умови здійснення наукової діяльності</w:t>
            </w:r>
            <w:r>
              <w:br/>
              <w:t>____________________________________________________________________________________</w:t>
            </w:r>
            <w:r>
              <w:br/>
              <w:t>____________________________________________________________________________________</w:t>
            </w:r>
          </w:p>
          <w:p w:rsidR="001555CD" w:rsidRDefault="001555CD">
            <w:pPr>
              <w:pStyle w:val="NormalWeb"/>
            </w:pPr>
            <w:bookmarkStart w:id="31" w:name="57"/>
            <w:bookmarkEnd w:id="31"/>
            <w:r>
              <w:t>2.8. Надання послуг та прав користування інженерно-транспортною інфраструктурою.</w:t>
            </w:r>
          </w:p>
          <w:p w:rsidR="001555CD" w:rsidRDefault="001555CD">
            <w:pPr>
              <w:pStyle w:val="NormalWeb"/>
            </w:pPr>
            <w:bookmarkStart w:id="32" w:name="58"/>
            <w:bookmarkEnd w:id="32"/>
            <w:r>
              <w:t>2.8.1. Порядок надання послуг та прав користування інженерно-транспортною інфраструктурою</w:t>
            </w:r>
            <w:r>
              <w:br/>
              <w:t>____________________________________________________________________________________</w:t>
            </w:r>
            <w:r>
              <w:br/>
              <w:t>____________________________________________________________________________________</w:t>
            </w:r>
          </w:p>
          <w:p w:rsidR="001555CD" w:rsidRDefault="001555CD">
            <w:pPr>
              <w:pStyle w:val="NormalWeb"/>
            </w:pPr>
            <w:bookmarkStart w:id="33" w:name="59"/>
            <w:bookmarkEnd w:id="33"/>
            <w:r>
              <w:t>2.8.2. Умови надання послуг та прав користування інженерно-транспортною інфраструктурою</w:t>
            </w:r>
            <w:r>
              <w:br/>
              <w:t>_____________________________________________________________________________________</w:t>
            </w:r>
          </w:p>
        </w:tc>
      </w:tr>
    </w:tbl>
    <w:p w:rsidR="001555CD" w:rsidRDefault="001555CD">
      <w:pPr>
        <w:pStyle w:val="Heading3"/>
        <w:jc w:val="center"/>
        <w:divId w:val="1553538615"/>
      </w:pPr>
      <w:bookmarkStart w:id="34" w:name="60"/>
      <w:bookmarkEnd w:id="34"/>
      <w:r>
        <w:t>III. Права та обов'язки сторін</w:t>
      </w:r>
    </w:p>
    <w:tbl>
      <w:tblPr>
        <w:tblW w:w="5000" w:type="pct"/>
        <w:tblLook w:val="0000"/>
      </w:tblPr>
      <w:tblGrid>
        <w:gridCol w:w="10421"/>
      </w:tblGrid>
      <w:tr w:rsidR="001555CD" w:rsidTr="00D62DC3">
        <w:tc>
          <w:tcPr>
            <w:tcW w:w="5000" w:type="pct"/>
          </w:tcPr>
          <w:p w:rsidR="001555CD" w:rsidRDefault="001555CD">
            <w:pPr>
              <w:pStyle w:val="NormalWeb"/>
            </w:pPr>
            <w:bookmarkStart w:id="35" w:name="61"/>
            <w:bookmarkEnd w:id="35"/>
            <w:r>
              <w:t>3.1. Ініціатор має право:</w:t>
            </w:r>
          </w:p>
          <w:p w:rsidR="001555CD" w:rsidRDefault="001555CD">
            <w:pPr>
              <w:pStyle w:val="NormalWeb"/>
            </w:pPr>
            <w:bookmarkStart w:id="36" w:name="62"/>
            <w:bookmarkEnd w:id="36"/>
            <w:r>
              <w:t>3.1.1. Здійснювати контроль за додержанням керуючою компанією умов укладених договорів.</w:t>
            </w:r>
          </w:p>
          <w:p w:rsidR="001555CD" w:rsidRDefault="001555CD">
            <w:pPr>
              <w:pStyle w:val="NormalWeb"/>
            </w:pPr>
            <w:bookmarkStart w:id="37" w:name="63"/>
            <w:bookmarkEnd w:id="37"/>
            <w:r>
              <w:t>3.1.2. Надавати керуючій компанії право на облаштування індустріального парку та/або управління (експлуатацію) об'єктами, що розміщені в межах індустріального парку.</w:t>
            </w:r>
          </w:p>
          <w:p w:rsidR="001555CD" w:rsidRDefault="001555CD">
            <w:pPr>
              <w:pStyle w:val="NormalWeb"/>
            </w:pPr>
            <w:bookmarkStart w:id="38" w:name="64"/>
            <w:bookmarkEnd w:id="38"/>
            <w:r>
              <w:t>3.1.3. Вимагати від керуючої компанії додержання концепції індустріального парку та виконання умов договорів, укладених з ініціатором створення.</w:t>
            </w:r>
          </w:p>
          <w:p w:rsidR="001555CD" w:rsidRDefault="001555CD">
            <w:pPr>
              <w:pStyle w:val="NormalWeb"/>
            </w:pPr>
            <w:bookmarkStart w:id="39" w:name="65"/>
            <w:bookmarkEnd w:id="39"/>
            <w:r>
              <w:t>3.1.4. Щопівроку отримувати від керуючої компанії звіти про функціонування індустріального парку.</w:t>
            </w:r>
          </w:p>
          <w:p w:rsidR="001555CD" w:rsidRDefault="001555CD">
            <w:pPr>
              <w:pStyle w:val="NormalWeb"/>
            </w:pPr>
            <w:bookmarkStart w:id="40" w:name="66"/>
            <w:bookmarkEnd w:id="40"/>
            <w:r>
              <w:t>3.1.5. Вимагати від керуючої компанії усунення порушень, допущених нею в процесі функціонування індустріального парку.</w:t>
            </w:r>
          </w:p>
          <w:p w:rsidR="001555CD" w:rsidRDefault="001555CD">
            <w:pPr>
              <w:pStyle w:val="NormalWeb"/>
            </w:pPr>
            <w:bookmarkStart w:id="41" w:name="67"/>
            <w:bookmarkEnd w:id="41"/>
            <w:r>
              <w:t>3.1.6. Вимагати від керуючої компанії відшкодування збитків у разі погіршення стану об'єктів або псування земельної ділянки індустріального парку, яке сталося внаслідок дій або бездіяльності керуючої компанії.</w:t>
            </w:r>
          </w:p>
          <w:p w:rsidR="001555CD" w:rsidRDefault="001555CD">
            <w:pPr>
              <w:pStyle w:val="NormalWeb"/>
            </w:pPr>
            <w:bookmarkStart w:id="42" w:name="68"/>
            <w:bookmarkEnd w:id="42"/>
            <w:r>
              <w:t>3.1.7. Здійснити викуп майна керуючої компанії в межах індустріального парку в разі дострокового розірвання договору про створення та функціонування індустріального парку в першочерговому порядку.</w:t>
            </w:r>
          </w:p>
          <w:p w:rsidR="001555CD" w:rsidRDefault="001555CD">
            <w:pPr>
              <w:pStyle w:val="NormalWeb"/>
            </w:pPr>
            <w:bookmarkStart w:id="43" w:name="69"/>
            <w:bookmarkEnd w:id="43"/>
            <w:r>
              <w:t>3.1.8. За зверненням керуючої компанії вживати заходів з розширення меж індустріального парку, якщо на наявній території неможливо розмістити нових учасників.</w:t>
            </w:r>
          </w:p>
          <w:p w:rsidR="001555CD" w:rsidRDefault="001555CD">
            <w:pPr>
              <w:pStyle w:val="NormalWeb"/>
            </w:pPr>
            <w:bookmarkStart w:id="44" w:name="70"/>
            <w:bookmarkEnd w:id="44"/>
            <w:r>
              <w:t>3.1.9. Передавати керуючій компанії або учасникам в оренду (суборенду), відчужувати об'єкти (частини об'єктів) нерухомого майна в межах індустріального парку.</w:t>
            </w:r>
          </w:p>
          <w:p w:rsidR="001555CD" w:rsidRDefault="001555CD">
            <w:pPr>
              <w:pStyle w:val="NormalWeb"/>
            </w:pPr>
            <w:bookmarkStart w:id="45" w:name="71"/>
            <w:bookmarkEnd w:id="45"/>
            <w:r>
              <w:t>3.2. Ініціатор зобов'язаний:</w:t>
            </w:r>
          </w:p>
          <w:p w:rsidR="001555CD" w:rsidRDefault="001555CD">
            <w:pPr>
              <w:pStyle w:val="NormalWeb"/>
            </w:pPr>
            <w:bookmarkStart w:id="46" w:name="72"/>
            <w:bookmarkEnd w:id="46"/>
            <w:r>
              <w:t>3.2.1. Здійснити облаштування індустріального парку відповідно до умов цього договору.</w:t>
            </w:r>
          </w:p>
          <w:p w:rsidR="001555CD" w:rsidRDefault="001555CD">
            <w:pPr>
              <w:pStyle w:val="NormalWeb"/>
            </w:pPr>
            <w:bookmarkStart w:id="47" w:name="73"/>
            <w:bookmarkEnd w:id="47"/>
            <w:r>
              <w:t>3.2.2. Надати керуючій компанії та/або учасникам права на земельні ділянки, наявні об'єкти інженерно-транспортної інфраструктури та інші об'єкти, розміщені в межах індустріального парку.</w:t>
            </w:r>
          </w:p>
          <w:p w:rsidR="001555CD" w:rsidRDefault="001555CD">
            <w:pPr>
              <w:pStyle w:val="NormalWeb"/>
            </w:pPr>
            <w:bookmarkStart w:id="48" w:name="74"/>
            <w:bookmarkEnd w:id="48"/>
            <w:r>
              <w:t>3.2.3. Зберігати комерційну таємницю керуючої компанії.</w:t>
            </w:r>
          </w:p>
          <w:p w:rsidR="001555CD" w:rsidRDefault="001555CD">
            <w:pPr>
              <w:pStyle w:val="NormalWeb"/>
            </w:pPr>
            <w:bookmarkStart w:id="49" w:name="75"/>
            <w:bookmarkEnd w:id="49"/>
            <w:r>
              <w:t>3.2.4. Не втручатися в поточну господарську діяльність керуючої компанії та учасників.</w:t>
            </w:r>
          </w:p>
          <w:p w:rsidR="001555CD" w:rsidRDefault="001555CD">
            <w:pPr>
              <w:pStyle w:val="NormalWeb"/>
            </w:pPr>
            <w:bookmarkStart w:id="50" w:name="76"/>
            <w:bookmarkEnd w:id="50"/>
            <w:r>
              <w:t>3.2.5. Розглядати пропозиції керуючої компанії щодо надання згоди на здійснення невід'ємного поліпшення його майна, переданого в користування керуючій компанії.</w:t>
            </w:r>
          </w:p>
          <w:p w:rsidR="001555CD" w:rsidRDefault="001555CD">
            <w:pPr>
              <w:pStyle w:val="NormalWeb"/>
            </w:pPr>
            <w:bookmarkStart w:id="51" w:name="77"/>
            <w:bookmarkEnd w:id="51"/>
            <w:r>
              <w:t>3.2.6. Здійснювати контроль за додержанням концепції індустріального парку.</w:t>
            </w:r>
          </w:p>
          <w:p w:rsidR="001555CD" w:rsidRDefault="001555CD">
            <w:pPr>
              <w:pStyle w:val="NormalWeb"/>
            </w:pPr>
            <w:bookmarkStart w:id="52" w:name="78"/>
            <w:bookmarkEnd w:id="52"/>
            <w:r>
              <w:t>3.2.7. Виконувати умови цього договору.</w:t>
            </w:r>
          </w:p>
          <w:p w:rsidR="001555CD" w:rsidRDefault="001555CD">
            <w:pPr>
              <w:pStyle w:val="NormalWeb"/>
            </w:pPr>
            <w:bookmarkStart w:id="53" w:name="79"/>
            <w:bookmarkEnd w:id="53"/>
            <w:r>
              <w:t>3.3. Ініціатор має також інші права та обов'язки, передбачені законодавством або які випливають із умов цього договору.</w:t>
            </w:r>
          </w:p>
          <w:p w:rsidR="001555CD" w:rsidRDefault="001555CD">
            <w:pPr>
              <w:pStyle w:val="NormalWeb"/>
            </w:pPr>
            <w:bookmarkStart w:id="54" w:name="80"/>
            <w:bookmarkEnd w:id="54"/>
            <w:r>
              <w:t>3.4. Керуюча компанія має право:</w:t>
            </w:r>
          </w:p>
          <w:p w:rsidR="001555CD" w:rsidRDefault="001555CD">
            <w:pPr>
              <w:pStyle w:val="NormalWeb"/>
            </w:pPr>
            <w:bookmarkStart w:id="55" w:name="81"/>
            <w:bookmarkEnd w:id="55"/>
            <w:r>
              <w:t>3.4.1. Здійснювати господарську діяльність відповідно до законодавства з урахуванням особливостей, передбачених Законом України "Про індустріальні парки".</w:t>
            </w:r>
          </w:p>
          <w:p w:rsidR="001555CD" w:rsidRDefault="001555CD">
            <w:pPr>
              <w:pStyle w:val="NormalWeb"/>
            </w:pPr>
            <w:bookmarkStart w:id="56" w:name="82"/>
            <w:bookmarkEnd w:id="56"/>
            <w:r>
              <w:t>3.4.2. З урахуванням вимог земельного законодавства передавати учасникам у суборенду надану їй в оренду земельну ділянку або її частини в межах індустріального парку з правом забудови.</w:t>
            </w:r>
          </w:p>
          <w:p w:rsidR="001555CD" w:rsidRDefault="001555CD">
            <w:pPr>
              <w:pStyle w:val="NormalWeb"/>
            </w:pPr>
            <w:bookmarkStart w:id="57" w:name="83"/>
            <w:bookmarkEnd w:id="57"/>
            <w:r>
              <w:t>3.4.3. Передавати учасникам в оренду (суборенду), відчужувати рухоме та нерухоме майно для використання в межах індустріального парку відповідно до законодавства.</w:t>
            </w:r>
          </w:p>
          <w:p w:rsidR="001555CD" w:rsidRDefault="001555CD">
            <w:pPr>
              <w:pStyle w:val="NormalWeb"/>
            </w:pPr>
            <w:bookmarkStart w:id="58" w:name="84"/>
            <w:bookmarkEnd w:id="58"/>
            <w:r>
              <w:t>3.4.4. Створити умови для підключення (приєднання) учасників до інженерних мереж та комунікацій.</w:t>
            </w:r>
          </w:p>
          <w:p w:rsidR="001555CD" w:rsidRDefault="001555CD">
            <w:pPr>
              <w:pStyle w:val="NormalWeb"/>
            </w:pPr>
            <w:bookmarkStart w:id="59" w:name="85"/>
            <w:bookmarkEnd w:id="59"/>
            <w:r>
              <w:t>3.4.5. Вимагати розірвання договору в разі порушення ініціатором умов договору і відшкодування збитків, завданих невиконанням умов договору.</w:t>
            </w:r>
          </w:p>
          <w:p w:rsidR="001555CD" w:rsidRDefault="001555CD">
            <w:pPr>
              <w:pStyle w:val="NormalWeb"/>
            </w:pPr>
            <w:bookmarkStart w:id="60" w:name="86"/>
            <w:bookmarkEnd w:id="60"/>
            <w:r>
              <w:t>3.4.6. На продовження строку договору в разі виконання його умов.</w:t>
            </w:r>
          </w:p>
          <w:p w:rsidR="001555CD" w:rsidRDefault="001555CD">
            <w:pPr>
              <w:pStyle w:val="NormalWeb"/>
            </w:pPr>
            <w:bookmarkStart w:id="61" w:name="87"/>
            <w:bookmarkEnd w:id="61"/>
            <w:r>
              <w:t>3.4.7. На отримання плати за вироблені товари (виконані роботи, надані послуги) згідно з цим договором.</w:t>
            </w:r>
          </w:p>
          <w:p w:rsidR="001555CD" w:rsidRDefault="001555CD">
            <w:pPr>
              <w:pStyle w:val="NormalWeb"/>
            </w:pPr>
            <w:bookmarkStart w:id="62" w:name="88"/>
            <w:bookmarkEnd w:id="62"/>
            <w:r>
              <w:t>3.4.8. Залучати на контрактній основі до виконання робіт та надання послуг у межах індустріального парку третіх осіб.</w:t>
            </w:r>
          </w:p>
          <w:p w:rsidR="001555CD" w:rsidRDefault="001555CD">
            <w:pPr>
              <w:pStyle w:val="NormalWeb"/>
            </w:pPr>
            <w:bookmarkStart w:id="63" w:name="89"/>
            <w:bookmarkEnd w:id="63"/>
            <w:r>
              <w:t>3.4.9. Отримувати від учасників звіти про виконання умов договору у визначені нижче строки та періоди (не рідше ніж щопівроку):</w:t>
            </w:r>
            <w:r>
              <w:br/>
            </w:r>
            <w:r>
              <w:rPr>
                <w:i/>
                <w:iCs/>
              </w:rPr>
              <w:t>____________________________________________________________________________________</w:t>
            </w:r>
          </w:p>
          <w:p w:rsidR="001555CD" w:rsidRDefault="001555CD">
            <w:pPr>
              <w:pStyle w:val="NormalWeb"/>
            </w:pPr>
            <w:bookmarkStart w:id="64" w:name="90"/>
            <w:bookmarkEnd w:id="64"/>
            <w:r>
              <w:t>3.4.10. Ініціювати розгляд питання стосовно розширення меж індустріального парку в разі, якщо на наявній території неможливо розмістити нових учасників.</w:t>
            </w:r>
          </w:p>
          <w:p w:rsidR="001555CD" w:rsidRDefault="001555CD">
            <w:pPr>
              <w:pStyle w:val="NormalWeb"/>
            </w:pPr>
            <w:bookmarkStart w:id="65" w:name="91"/>
            <w:bookmarkEnd w:id="65"/>
            <w:r>
              <w:t>3.4.11. Самостійно або за дорученням учасників одержувати документи дозвільного характеру та погодження органів виконавчої влади, органів місцевого самоврядування, у тому числі для здійснення будівництва об'єктів виробничого призначення, інших об'єктів, необхідних для провадження господарської діяльності в межах індустріального парку, представляти інтереси учасників у відносинах з органами державної влади, підприємствами, установами та організаціями.</w:t>
            </w:r>
          </w:p>
          <w:p w:rsidR="001555CD" w:rsidRDefault="001555CD">
            <w:pPr>
              <w:pStyle w:val="NormalWeb"/>
            </w:pPr>
            <w:bookmarkStart w:id="66" w:name="92"/>
            <w:bookmarkEnd w:id="66"/>
            <w:r>
              <w:t>3.5. Керуюча компанія зобов'язана:</w:t>
            </w:r>
          </w:p>
          <w:p w:rsidR="001555CD" w:rsidRDefault="001555CD">
            <w:pPr>
              <w:pStyle w:val="NormalWeb"/>
            </w:pPr>
            <w:bookmarkStart w:id="67" w:name="93"/>
            <w:bookmarkEnd w:id="67"/>
            <w:r>
              <w:t>3.5.1. Виконувати умови цього договору.</w:t>
            </w:r>
          </w:p>
          <w:p w:rsidR="001555CD" w:rsidRDefault="001555CD">
            <w:pPr>
              <w:pStyle w:val="NormalWeb"/>
            </w:pPr>
            <w:bookmarkStart w:id="68" w:name="94"/>
            <w:bookmarkEnd w:id="68"/>
            <w:r>
              <w:t>3.5.2. У процесі діяльності, пов'язаної із створенням та функціонуванням індустріального парку, залучати працівників - громадян України, зокрема звільнених працівників у зв'язку з ліквідацією державного або комунального підприємства, майно якого надано в користування керуючій компанії. Це не позбавляє права керуючої компанії укладати трудові договори з іноземцями та особами без громадянства.</w:t>
            </w:r>
          </w:p>
          <w:p w:rsidR="001555CD" w:rsidRDefault="001555CD">
            <w:pPr>
              <w:pStyle w:val="NormalWeb"/>
            </w:pPr>
            <w:bookmarkStart w:id="69" w:name="95"/>
            <w:bookmarkEnd w:id="69"/>
            <w:r>
              <w:t>3.5.3. Здійснити облаштування індустріального парку відповідно до умов цього договору.</w:t>
            </w:r>
          </w:p>
          <w:p w:rsidR="001555CD" w:rsidRDefault="001555CD">
            <w:pPr>
              <w:pStyle w:val="NormalWeb"/>
            </w:pPr>
            <w:bookmarkStart w:id="70" w:name="96"/>
            <w:bookmarkEnd w:id="70"/>
            <w:r>
              <w:t>3.5.4. Забезпечувати виконання бізнес-плану індустріального парку.</w:t>
            </w:r>
          </w:p>
          <w:p w:rsidR="001555CD" w:rsidRDefault="001555CD">
            <w:pPr>
              <w:pStyle w:val="NormalWeb"/>
            </w:pPr>
            <w:bookmarkStart w:id="71" w:name="97"/>
            <w:bookmarkEnd w:id="71"/>
            <w:r>
              <w:t>3.5.5. Залучати учасників індустріального парку та укладати з ними необхідні договори.</w:t>
            </w:r>
          </w:p>
          <w:p w:rsidR="001555CD" w:rsidRDefault="001555CD">
            <w:pPr>
              <w:pStyle w:val="NormalWeb"/>
            </w:pPr>
            <w:bookmarkStart w:id="72" w:name="98"/>
            <w:bookmarkEnd w:id="72"/>
            <w:r>
              <w:t>3.5.6. За дорученням ініціатора, учасників одержувати дозволи та погодження в органах державної влади, органах місцевого самоврядування, у тому числі для здійснення будівництва об'єктів виробничого призначення, інших об'єктів, необхідних для здійснення господарської діяльності в межах індустріального парку, представляти інтереси учасників у відносинах з дозвільними органами, службами, підприємствами, установами та організаціями.</w:t>
            </w:r>
          </w:p>
          <w:p w:rsidR="001555CD" w:rsidRDefault="001555CD">
            <w:pPr>
              <w:pStyle w:val="NormalWeb"/>
            </w:pPr>
            <w:bookmarkStart w:id="73" w:name="99"/>
            <w:bookmarkEnd w:id="73"/>
            <w:r>
              <w:t>3.5.7. Звертатися з пропозиціями щодо надання згоди на здійснення невід'ємного поліпшення майна, переданого ініціатором у користування керуючій компанії.</w:t>
            </w:r>
          </w:p>
          <w:p w:rsidR="001555CD" w:rsidRDefault="001555CD">
            <w:pPr>
              <w:pStyle w:val="NormalWeb"/>
            </w:pPr>
            <w:bookmarkStart w:id="74" w:name="100"/>
            <w:bookmarkEnd w:id="74"/>
            <w:r>
              <w:t>3.5.8. Утримувати в належному стані передані за відповідними договорами земельну ділянку, інженерно-транспортну інфраструктуру та інші об'єкти, розміщені в межах індустріального парку, та забезпечувати належні умови їх використання.</w:t>
            </w:r>
          </w:p>
          <w:p w:rsidR="001555CD" w:rsidRDefault="001555CD">
            <w:pPr>
              <w:pStyle w:val="NormalWeb"/>
            </w:pPr>
            <w:bookmarkStart w:id="75" w:name="101"/>
            <w:bookmarkEnd w:id="75"/>
            <w:r>
              <w:t>3.5.9. Після закінчення строку, на який укладено договір, передати земельну ділянку разом з об'єктами інфраструктури, що розташовані на ній, та іншими об'єктами, розміщеними в межах індустріального парку, ініціатору, якщо інше не передбачено договором.</w:t>
            </w:r>
          </w:p>
          <w:p w:rsidR="001555CD" w:rsidRDefault="001555CD">
            <w:pPr>
              <w:pStyle w:val="NormalWeb"/>
            </w:pPr>
            <w:bookmarkStart w:id="76" w:name="102"/>
            <w:bookmarkEnd w:id="76"/>
            <w:r>
              <w:t>3.5.10. Щопівроку подавати ініціатору та уповноваженому державному органу звіти про функціонування індустріального парку.</w:t>
            </w:r>
          </w:p>
          <w:p w:rsidR="001555CD" w:rsidRDefault="001555CD">
            <w:pPr>
              <w:pStyle w:val="NormalWeb"/>
            </w:pPr>
            <w:bookmarkStart w:id="77" w:name="103"/>
            <w:bookmarkEnd w:id="77"/>
            <w:r>
              <w:t>3.5.11. Зберігати комерційну таємницю ініціатора.</w:t>
            </w:r>
          </w:p>
          <w:p w:rsidR="001555CD" w:rsidRDefault="001555CD">
            <w:pPr>
              <w:pStyle w:val="NormalWeb"/>
            </w:pPr>
            <w:bookmarkStart w:id="78" w:name="104"/>
            <w:bookmarkEnd w:id="78"/>
            <w:r>
              <w:t>3.6. Керуюча компанія має також інші права та обов'язки, передбачені законодавством або які випливають із умов цього договору.</w:t>
            </w:r>
          </w:p>
        </w:tc>
      </w:tr>
    </w:tbl>
    <w:p w:rsidR="001555CD" w:rsidRDefault="001555CD">
      <w:pPr>
        <w:pStyle w:val="Heading3"/>
        <w:jc w:val="center"/>
      </w:pPr>
      <w:bookmarkStart w:id="79" w:name="105"/>
      <w:bookmarkEnd w:id="79"/>
      <w:r>
        <w:t>IV. Відповідальність сторін</w:t>
      </w:r>
    </w:p>
    <w:tbl>
      <w:tblPr>
        <w:tblW w:w="5000" w:type="pct"/>
        <w:tblLook w:val="0000"/>
      </w:tblPr>
      <w:tblGrid>
        <w:gridCol w:w="10421"/>
      </w:tblGrid>
      <w:tr w:rsidR="001555CD" w:rsidTr="00D62DC3">
        <w:tc>
          <w:tcPr>
            <w:tcW w:w="5000" w:type="pct"/>
          </w:tcPr>
          <w:p w:rsidR="001555CD" w:rsidRDefault="001555CD">
            <w:pPr>
              <w:pStyle w:val="NormalWeb"/>
            </w:pPr>
            <w:bookmarkStart w:id="80" w:name="106"/>
            <w:bookmarkEnd w:id="80"/>
            <w:r>
              <w:t>4.1. Одностороння відмова від виконання зобов'язань за цим договором не допускається. У разі порушення зобов'язань за цим договором (далі - порушення договору) сторона, яка порушила договір, несе відповідальність, визначену цим договором та/або законом.</w:t>
            </w:r>
          </w:p>
          <w:p w:rsidR="001555CD" w:rsidRDefault="001555CD">
            <w:pPr>
              <w:pStyle w:val="NormalWeb"/>
            </w:pPr>
            <w:bookmarkStart w:id="81" w:name="107"/>
            <w:bookmarkEnd w:id="81"/>
            <w:r>
              <w:t>4.2. Порушенням договору є його невиконання або неналежне виконання, тобто виконання з порушенням умов, визначених цим договором.</w:t>
            </w:r>
          </w:p>
          <w:p w:rsidR="001555CD" w:rsidRDefault="001555CD">
            <w:pPr>
              <w:pStyle w:val="NormalWeb"/>
            </w:pPr>
            <w:bookmarkStart w:id="82" w:name="108"/>
            <w:bookmarkEnd w:id="82"/>
            <w:r>
              <w:t>4.3. Відповідальність за порушення договору та способи її реалізації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</w:tc>
      </w:tr>
    </w:tbl>
    <w:p w:rsidR="001555CD" w:rsidRDefault="001555CD">
      <w:pPr>
        <w:pStyle w:val="Heading3"/>
        <w:jc w:val="center"/>
      </w:pPr>
      <w:bookmarkStart w:id="83" w:name="109"/>
      <w:bookmarkEnd w:id="83"/>
      <w:r>
        <w:t>V. Обставини непереборної сили</w:t>
      </w:r>
    </w:p>
    <w:tbl>
      <w:tblPr>
        <w:tblW w:w="5000" w:type="pct"/>
        <w:tblLook w:val="0000"/>
      </w:tblPr>
      <w:tblGrid>
        <w:gridCol w:w="10421"/>
      </w:tblGrid>
      <w:tr w:rsidR="001555CD" w:rsidTr="00D62DC3">
        <w:tc>
          <w:tcPr>
            <w:tcW w:w="5000" w:type="pct"/>
          </w:tcPr>
          <w:p w:rsidR="001555CD" w:rsidRDefault="001555CD">
            <w:pPr>
              <w:pStyle w:val="NormalWeb"/>
            </w:pPr>
            <w:bookmarkStart w:id="84" w:name="110"/>
            <w:bookmarkEnd w:id="84"/>
            <w:r>
              <w:t>5.1. Сторони звільняються від відповідальності за невиконання або неналежне виконання зобов'язань за цим договором у разі виникнення обставин непереборної сили, які не існували під час укладання договору та виникли поза волею сторін (аварія, катастрофа, стихійне лихо, епідемія, епізоотія, війна тощо).</w:t>
            </w:r>
          </w:p>
          <w:p w:rsidR="001555CD" w:rsidRDefault="001555CD">
            <w:pPr>
              <w:pStyle w:val="NormalWeb"/>
            </w:pPr>
            <w:bookmarkStart w:id="85" w:name="111"/>
            <w:bookmarkEnd w:id="85"/>
            <w:r>
              <w:t>5.2. Сторона, яка не може виконувати зобов'язання за цим договором унаслідок дії обставин непереборної сили, повинна не пізніше 15 календарних днів з дати їх виникнення повідомити про це іншу сторону в письмовій формі.</w:t>
            </w:r>
          </w:p>
          <w:p w:rsidR="001555CD" w:rsidRDefault="001555CD">
            <w:pPr>
              <w:pStyle w:val="NormalWeb"/>
            </w:pPr>
            <w:bookmarkStart w:id="86" w:name="112"/>
            <w:bookmarkEnd w:id="86"/>
            <w:r>
              <w:t>5.3. Доказом виникнення обставин непереборної сили та строку їх дії є відповідні документи, що видаються уповноваженими на це органами.</w:t>
            </w:r>
          </w:p>
          <w:p w:rsidR="001555CD" w:rsidRDefault="001555CD">
            <w:pPr>
              <w:pStyle w:val="NormalWeb"/>
            </w:pPr>
            <w:bookmarkStart w:id="87" w:name="113"/>
            <w:bookmarkEnd w:id="87"/>
            <w:r>
              <w:t>5.4. У разі коли строк дії обставин непереборної сили продовжується більше ніж на ____ календарних днів, кожна із сторін у встановленому порядку має право розірвати цей договір.</w:t>
            </w:r>
          </w:p>
        </w:tc>
      </w:tr>
    </w:tbl>
    <w:p w:rsidR="001555CD" w:rsidRDefault="001555CD">
      <w:pPr>
        <w:pStyle w:val="Heading3"/>
        <w:jc w:val="center"/>
      </w:pPr>
      <w:bookmarkStart w:id="88" w:name="114"/>
      <w:bookmarkEnd w:id="88"/>
      <w:r>
        <w:t>VI. Вирішення спорів</w:t>
      </w:r>
    </w:p>
    <w:tbl>
      <w:tblPr>
        <w:tblW w:w="5000" w:type="pct"/>
        <w:tblLook w:val="0000"/>
      </w:tblPr>
      <w:tblGrid>
        <w:gridCol w:w="10421"/>
      </w:tblGrid>
      <w:tr w:rsidR="001555CD" w:rsidTr="00D62DC3">
        <w:tc>
          <w:tcPr>
            <w:tcW w:w="5000" w:type="pct"/>
          </w:tcPr>
          <w:p w:rsidR="001555CD" w:rsidRDefault="001555CD">
            <w:pPr>
              <w:pStyle w:val="NormalWeb"/>
            </w:pPr>
            <w:bookmarkStart w:id="89" w:name="115"/>
            <w:bookmarkEnd w:id="89"/>
            <w:r>
              <w:t>6.1. Усі спори, які будуть виникати під час виконання цього договору, вирішуються шляхом переговорів і консультацій між сторонами.</w:t>
            </w:r>
          </w:p>
          <w:p w:rsidR="001555CD" w:rsidRDefault="001555CD">
            <w:pPr>
              <w:pStyle w:val="NormalWeb"/>
            </w:pPr>
            <w:bookmarkStart w:id="90" w:name="116"/>
            <w:bookmarkEnd w:id="90"/>
            <w:r>
              <w:t>6.2. У разі неможливості досягнення згоди сторін у процесі переговорів і консультацій такий спір вирішується в судовому порядку відповідно до законодавства.</w:t>
            </w:r>
          </w:p>
        </w:tc>
      </w:tr>
    </w:tbl>
    <w:p w:rsidR="001555CD" w:rsidRDefault="001555CD">
      <w:pPr>
        <w:pStyle w:val="Heading3"/>
        <w:jc w:val="center"/>
      </w:pPr>
      <w:bookmarkStart w:id="91" w:name="117"/>
      <w:bookmarkEnd w:id="91"/>
      <w:r>
        <w:t>VII. Строк дії договору</w:t>
      </w:r>
    </w:p>
    <w:tbl>
      <w:tblPr>
        <w:tblW w:w="5000" w:type="pct"/>
        <w:tblLook w:val="0000"/>
      </w:tblPr>
      <w:tblGrid>
        <w:gridCol w:w="10421"/>
      </w:tblGrid>
      <w:tr w:rsidR="001555CD" w:rsidTr="00D62DC3">
        <w:tc>
          <w:tcPr>
            <w:tcW w:w="5000" w:type="pct"/>
          </w:tcPr>
          <w:p w:rsidR="001555CD" w:rsidRDefault="001555CD">
            <w:pPr>
              <w:pStyle w:val="NormalWeb"/>
            </w:pPr>
            <w:bookmarkStart w:id="92" w:name="118"/>
            <w:bookmarkEnd w:id="92"/>
            <w:r>
              <w:t>7.1. Цей договір набирає чинності з дати його підписання уповноваженими представниками сторін та скріплення підписів печатками (за наявності).</w:t>
            </w:r>
          </w:p>
          <w:p w:rsidR="001555CD" w:rsidRDefault="001555CD">
            <w:pPr>
              <w:pStyle w:val="NormalWeb"/>
            </w:pPr>
            <w:bookmarkStart w:id="93" w:name="119"/>
            <w:bookmarkEnd w:id="93"/>
            <w:r>
              <w:t>7.2. Строк дії договору про створення та функціонування індустріального парку встановлюється в межах строку, на який створено індустріальний парк.</w:t>
            </w:r>
          </w:p>
          <w:p w:rsidR="001555CD" w:rsidRDefault="001555CD">
            <w:pPr>
              <w:pStyle w:val="NormalWeb"/>
            </w:pPr>
            <w:bookmarkStart w:id="94" w:name="120"/>
            <w:bookmarkEnd w:id="94"/>
            <w:r>
              <w:t>Строк дії договору ___________________________________.</w:t>
            </w:r>
          </w:p>
          <w:p w:rsidR="001555CD" w:rsidRDefault="001555CD">
            <w:pPr>
              <w:pStyle w:val="NormalWeb"/>
            </w:pPr>
            <w:bookmarkStart w:id="95" w:name="121"/>
            <w:bookmarkEnd w:id="95"/>
            <w:r>
              <w:t>7.3. Цей договір припиняється в разі закінчення строку, на який його укладено, якщо сторони не уклали угоди про його продовження в межах терміну, на який створено індустріальний парк.</w:t>
            </w:r>
          </w:p>
          <w:p w:rsidR="001555CD" w:rsidRDefault="001555CD">
            <w:pPr>
              <w:pStyle w:val="NormalWeb"/>
            </w:pPr>
            <w:bookmarkStart w:id="96" w:name="122"/>
            <w:bookmarkEnd w:id="96"/>
            <w:r>
              <w:t>7.4. Строк дії договору може бути змінений за згодою сторін у межах строку, на який створено індустріальний парк.</w:t>
            </w:r>
          </w:p>
          <w:p w:rsidR="001555CD" w:rsidRDefault="001555CD">
            <w:pPr>
              <w:pStyle w:val="NormalWeb"/>
            </w:pPr>
            <w:bookmarkStart w:id="97" w:name="123"/>
            <w:bookmarkEnd w:id="97"/>
            <w:r>
              <w:t>7.5. Цей договір може бути припинено достроково в разі:</w:t>
            </w:r>
          </w:p>
          <w:p w:rsidR="001555CD" w:rsidRDefault="001555CD">
            <w:pPr>
              <w:pStyle w:val="NormalWeb"/>
            </w:pPr>
            <w:bookmarkStart w:id="98" w:name="124"/>
            <w:bookmarkEnd w:id="98"/>
            <w:r>
              <w:t>7.5.1. Істотного порушення однією із сторін своїх зобов'язань за цим договором.</w:t>
            </w:r>
          </w:p>
          <w:p w:rsidR="001555CD" w:rsidRDefault="001555CD">
            <w:pPr>
              <w:pStyle w:val="NormalWeb"/>
            </w:pPr>
            <w:bookmarkStart w:id="99" w:name="125"/>
            <w:bookmarkEnd w:id="99"/>
            <w:r>
              <w:t>7.5.2. Ліквідації керуючої компанії за рішенням суду, у тому числі у зв'язку з визнанням її банкрутом.</w:t>
            </w:r>
          </w:p>
          <w:p w:rsidR="001555CD" w:rsidRDefault="001555CD">
            <w:pPr>
              <w:pStyle w:val="NormalWeb"/>
            </w:pPr>
            <w:bookmarkStart w:id="100" w:name="126"/>
            <w:bookmarkEnd w:id="100"/>
            <w:r>
              <w:t>7.6. Реорганізація керуючої компанії - юридичної особи не є підставою для розірвання договору про створення та функціонування індустріального парку.</w:t>
            </w:r>
          </w:p>
          <w:p w:rsidR="001555CD" w:rsidRDefault="001555CD">
            <w:pPr>
              <w:pStyle w:val="NormalWeb"/>
            </w:pPr>
            <w:bookmarkStart w:id="101" w:name="127"/>
            <w:bookmarkEnd w:id="101"/>
            <w:r>
              <w:t>7.7. Цей договір укладається і підписується у двох примірниках, що мають однакову юридичну силу.</w:t>
            </w:r>
          </w:p>
        </w:tc>
      </w:tr>
    </w:tbl>
    <w:p w:rsidR="001555CD" w:rsidRDefault="001555CD">
      <w:pPr>
        <w:pStyle w:val="Heading3"/>
        <w:jc w:val="center"/>
      </w:pPr>
      <w:bookmarkStart w:id="102" w:name="128"/>
      <w:bookmarkEnd w:id="102"/>
      <w:r>
        <w:t>VIII. Інші умови</w:t>
      </w:r>
    </w:p>
    <w:tbl>
      <w:tblPr>
        <w:tblW w:w="5000" w:type="pct"/>
        <w:tblLook w:val="0000"/>
      </w:tblPr>
      <w:tblGrid>
        <w:gridCol w:w="10421"/>
      </w:tblGrid>
      <w:tr w:rsidR="001555CD" w:rsidTr="00D62DC3">
        <w:tc>
          <w:tcPr>
            <w:tcW w:w="5000" w:type="pct"/>
          </w:tcPr>
          <w:p w:rsidR="001555CD" w:rsidRDefault="001555CD">
            <w:pPr>
              <w:pStyle w:val="NormalWeb"/>
            </w:pPr>
            <w:bookmarkStart w:id="103" w:name="129"/>
            <w:bookmarkEnd w:id="103"/>
            <w:r>
              <w:t>8.1. Зміни до цього договору вносяться за взаємною згодою сторін та оформлюються додатками до нього.</w:t>
            </w:r>
          </w:p>
          <w:p w:rsidR="001555CD" w:rsidRDefault="001555CD">
            <w:pPr>
              <w:pStyle w:val="NormalWeb"/>
            </w:pPr>
            <w:bookmarkStart w:id="104" w:name="130"/>
            <w:bookmarkEnd w:id="104"/>
            <w:r>
              <w:t>8.2. У разі припинення договору про створення та функціонування індустріального парку керуюча компанія зобов'язана повернути ініціатору земельні ділянки, не відчужені у власність учасників, а також об'єкти права власності на умовах, зазначених у цьому договорі. Якщо керуюча компанія допустила псування земельної ділянки ініціатора, погіршення стану/знищення об'єктів інженерно-транспортної інфраструктури та/або іншого майна ініціатора, розташованого в межах індустріального парку, вона зобов'язана відшкодувати йому збитки, якщо доведено, що це сталося внаслідок дій або бездіяльності цієї компанії.</w:t>
            </w:r>
          </w:p>
        </w:tc>
      </w:tr>
    </w:tbl>
    <w:p w:rsidR="001555CD" w:rsidRDefault="001555CD">
      <w:pPr>
        <w:pStyle w:val="Heading3"/>
        <w:jc w:val="center"/>
      </w:pPr>
      <w:bookmarkStart w:id="105" w:name="131"/>
      <w:bookmarkEnd w:id="105"/>
      <w:r>
        <w:t>IX. Додатки до договору</w:t>
      </w:r>
    </w:p>
    <w:tbl>
      <w:tblPr>
        <w:tblW w:w="5000" w:type="pct"/>
        <w:tblLook w:val="0000"/>
      </w:tblPr>
      <w:tblGrid>
        <w:gridCol w:w="10421"/>
      </w:tblGrid>
      <w:tr w:rsidR="001555CD" w:rsidTr="00D62DC3">
        <w:tc>
          <w:tcPr>
            <w:tcW w:w="5000" w:type="pct"/>
          </w:tcPr>
          <w:p w:rsidR="001555CD" w:rsidRDefault="001555CD">
            <w:pPr>
              <w:pStyle w:val="NormalWeb"/>
            </w:pPr>
            <w:bookmarkStart w:id="106" w:name="132"/>
            <w:bookmarkEnd w:id="106"/>
            <w:r>
              <w:t>Невід'ємною частиною цього договору є:</w:t>
            </w:r>
          </w:p>
          <w:p w:rsidR="001555CD" w:rsidRDefault="001555CD">
            <w:pPr>
              <w:pStyle w:val="NormalWeb"/>
            </w:pPr>
            <w:bookmarkStart w:id="107" w:name="133"/>
            <w:bookmarkEnd w:id="107"/>
            <w:r>
              <w:t>рішення ініціатора про створення індустріального парку;</w:t>
            </w:r>
          </w:p>
          <w:p w:rsidR="001555CD" w:rsidRDefault="001555CD">
            <w:pPr>
              <w:pStyle w:val="NormalWeb"/>
            </w:pPr>
            <w:bookmarkStart w:id="108" w:name="134"/>
            <w:bookmarkEnd w:id="108"/>
            <w:r>
              <w:t>бізнес-план індустріального парку;</w:t>
            </w:r>
          </w:p>
          <w:p w:rsidR="001555CD" w:rsidRDefault="001555CD">
            <w:pPr>
              <w:pStyle w:val="NormalWeb"/>
            </w:pPr>
            <w:bookmarkStart w:id="109" w:name="135"/>
            <w:bookmarkEnd w:id="109"/>
            <w:r>
              <w:t>концепція індустріального парку, схвалена ініціатором.</w:t>
            </w:r>
          </w:p>
        </w:tc>
      </w:tr>
    </w:tbl>
    <w:p w:rsidR="001555CD" w:rsidRDefault="001555CD">
      <w:pPr>
        <w:pStyle w:val="Heading3"/>
        <w:jc w:val="center"/>
      </w:pPr>
      <w:bookmarkStart w:id="110" w:name="136"/>
      <w:bookmarkEnd w:id="110"/>
      <w:r>
        <w:t>X. Реквізити сторін</w:t>
      </w:r>
    </w:p>
    <w:tbl>
      <w:tblPr>
        <w:tblW w:w="5000" w:type="pct"/>
        <w:tblLook w:val="0000"/>
      </w:tblPr>
      <w:tblGrid>
        <w:gridCol w:w="5210"/>
        <w:gridCol w:w="5211"/>
      </w:tblGrid>
      <w:tr w:rsidR="001555CD" w:rsidTr="00D62DC3">
        <w:tc>
          <w:tcPr>
            <w:tcW w:w="2500" w:type="pct"/>
          </w:tcPr>
          <w:p w:rsidR="001555CD" w:rsidRDefault="001555CD">
            <w:pPr>
              <w:pStyle w:val="NormalWeb"/>
            </w:pPr>
            <w:bookmarkStart w:id="111" w:name="137"/>
            <w:bookmarkEnd w:id="111"/>
            <w:r>
              <w:t>Ініціатор</w:t>
            </w:r>
          </w:p>
          <w:p w:rsidR="001555CD" w:rsidRDefault="001555CD">
            <w:pPr>
              <w:pStyle w:val="NormalWeb"/>
            </w:pPr>
            <w:bookmarkStart w:id="112" w:name="138"/>
            <w:bookmarkEnd w:id="112"/>
            <w:r>
              <w:t>________________________________</w:t>
            </w:r>
          </w:p>
          <w:p w:rsidR="001555CD" w:rsidRDefault="001555CD">
            <w:pPr>
              <w:pStyle w:val="NormalWeb"/>
            </w:pPr>
            <w:bookmarkStart w:id="113" w:name="139"/>
            <w:bookmarkEnd w:id="113"/>
            <w:r>
              <w:t>___ ____________ 20 __ року</w:t>
            </w:r>
          </w:p>
          <w:p w:rsidR="001555CD" w:rsidRDefault="001555CD">
            <w:pPr>
              <w:pStyle w:val="NormalWeb"/>
            </w:pPr>
            <w:bookmarkStart w:id="114" w:name="140"/>
            <w:bookmarkEnd w:id="114"/>
            <w:r>
              <w:t>М. П. (за наявності)</w:t>
            </w:r>
          </w:p>
        </w:tc>
        <w:tc>
          <w:tcPr>
            <w:tcW w:w="2500" w:type="pct"/>
          </w:tcPr>
          <w:p w:rsidR="001555CD" w:rsidRDefault="001555CD">
            <w:pPr>
              <w:pStyle w:val="NormalWeb"/>
            </w:pPr>
            <w:bookmarkStart w:id="115" w:name="141"/>
            <w:bookmarkEnd w:id="115"/>
            <w:r>
              <w:t>Керуюча компанія</w:t>
            </w:r>
          </w:p>
          <w:p w:rsidR="001555CD" w:rsidRDefault="001555CD">
            <w:pPr>
              <w:pStyle w:val="NormalWeb"/>
            </w:pPr>
            <w:bookmarkStart w:id="116" w:name="142"/>
            <w:bookmarkEnd w:id="116"/>
            <w:r>
              <w:t>________________________________</w:t>
            </w:r>
          </w:p>
          <w:p w:rsidR="001555CD" w:rsidRDefault="001555CD">
            <w:pPr>
              <w:pStyle w:val="NormalWeb"/>
            </w:pPr>
            <w:bookmarkStart w:id="117" w:name="143"/>
            <w:bookmarkEnd w:id="117"/>
            <w:r>
              <w:t>___ ____________ 20 __ року</w:t>
            </w:r>
          </w:p>
          <w:p w:rsidR="001555CD" w:rsidRDefault="001555CD">
            <w:pPr>
              <w:pStyle w:val="NormalWeb"/>
            </w:pPr>
            <w:bookmarkStart w:id="118" w:name="144"/>
            <w:bookmarkEnd w:id="118"/>
            <w:r>
              <w:t>М. П. (за наявності)</w:t>
            </w:r>
          </w:p>
        </w:tc>
      </w:tr>
    </w:tbl>
    <w:p w:rsidR="001555CD" w:rsidRDefault="001555CD">
      <w:pPr>
        <w:pStyle w:val="NormalWeb"/>
      </w:pPr>
      <w:bookmarkStart w:id="119" w:name="145"/>
      <w:bookmarkEnd w:id="119"/>
    </w:p>
    <w:tbl>
      <w:tblPr>
        <w:tblW w:w="5000" w:type="pct"/>
        <w:tblLook w:val="0000"/>
      </w:tblPr>
      <w:tblGrid>
        <w:gridCol w:w="5210"/>
        <w:gridCol w:w="5211"/>
      </w:tblGrid>
      <w:tr w:rsidR="001555CD" w:rsidTr="00D62DC3">
        <w:tc>
          <w:tcPr>
            <w:tcW w:w="2500" w:type="pct"/>
          </w:tcPr>
          <w:p w:rsidR="001555CD" w:rsidRDefault="001555CD">
            <w:pPr>
              <w:pStyle w:val="NormalWeb"/>
              <w:jc w:val="center"/>
            </w:pPr>
            <w:bookmarkStart w:id="120" w:name="146"/>
            <w:bookmarkEnd w:id="120"/>
            <w:r>
              <w:rPr>
                <w:b/>
                <w:bCs/>
              </w:rPr>
              <w:t>Директор департаменту інвестицій</w:t>
            </w:r>
          </w:p>
        </w:tc>
        <w:tc>
          <w:tcPr>
            <w:tcW w:w="2500" w:type="pct"/>
          </w:tcPr>
          <w:p w:rsidR="001555CD" w:rsidRDefault="001555CD">
            <w:pPr>
              <w:pStyle w:val="NormalWeb"/>
              <w:jc w:val="center"/>
            </w:pPr>
            <w:bookmarkStart w:id="121" w:name="147"/>
            <w:bookmarkEnd w:id="121"/>
            <w:r>
              <w:rPr>
                <w:b/>
                <w:bCs/>
              </w:rPr>
              <w:t>Юлія СКУБАК</w:t>
            </w:r>
          </w:p>
        </w:tc>
      </w:tr>
    </w:tbl>
    <w:p w:rsidR="001555CD" w:rsidRDefault="001555CD" w:rsidP="00D62DC3">
      <w:pPr>
        <w:pStyle w:val="NormalWeb"/>
      </w:pPr>
    </w:p>
    <w:sectPr w:rsidR="001555CD" w:rsidSect="00D62D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C8A"/>
    <w:rsid w:val="001555CD"/>
    <w:rsid w:val="004353DE"/>
    <w:rsid w:val="004A4C28"/>
    <w:rsid w:val="00623C00"/>
    <w:rsid w:val="006322FE"/>
    <w:rsid w:val="00667C8A"/>
    <w:rsid w:val="00940384"/>
    <w:rsid w:val="00B159DE"/>
    <w:rsid w:val="00D62DC3"/>
    <w:rsid w:val="00EB3802"/>
    <w:rsid w:val="00FD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beforeAutospacing="1" w:after="100" w:afterAutospacing="1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pPr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pPr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D14F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4FA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rFonts w:cs="Times New Roman"/>
      <w:color w:val="940112"/>
      <w:u w:val="none"/>
      <w:effect w:val="non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940112"/>
      <w:u w:val="none"/>
      <w:effect w:val="none"/>
    </w:rPr>
  </w:style>
  <w:style w:type="paragraph" w:customStyle="1" w:styleId="maintext">
    <w:name w:val="main_text"/>
    <w:basedOn w:val="Normal"/>
    <w:uiPriority w:val="99"/>
    <w:rPr>
      <w:rFonts w:ascii="Arial" w:hAnsi="Arial" w:cs="Arial"/>
      <w:color w:val="355069"/>
      <w:sz w:val="20"/>
      <w:szCs w:val="20"/>
    </w:rPr>
  </w:style>
  <w:style w:type="paragraph" w:customStyle="1" w:styleId="p">
    <w:name w:val="p"/>
    <w:basedOn w:val="Normal"/>
    <w:uiPriority w:val="99"/>
    <w:rPr>
      <w:rFonts w:ascii="Arial" w:hAnsi="Arial" w:cs="Arial"/>
      <w:color w:val="355069"/>
      <w:sz w:val="20"/>
      <w:szCs w:val="20"/>
    </w:rPr>
  </w:style>
  <w:style w:type="paragraph" w:customStyle="1" w:styleId="maintextsmall">
    <w:name w:val="main_text_small"/>
    <w:basedOn w:val="Normal"/>
    <w:uiPriority w:val="99"/>
    <w:rPr>
      <w:rFonts w:ascii="Arial" w:hAnsi="Arial" w:cs="Arial"/>
      <w:color w:val="355069"/>
      <w:sz w:val="18"/>
      <w:szCs w:val="18"/>
    </w:rPr>
  </w:style>
  <w:style w:type="paragraph" w:customStyle="1" w:styleId="notetext">
    <w:name w:val="note_text"/>
    <w:basedOn w:val="Normal"/>
    <w:uiPriority w:val="99"/>
    <w:rPr>
      <w:rFonts w:ascii="Arial" w:hAnsi="Arial" w:cs="Arial"/>
      <w:color w:val="91282D"/>
      <w:sz w:val="20"/>
      <w:szCs w:val="20"/>
    </w:rPr>
  </w:style>
  <w:style w:type="paragraph" w:customStyle="1" w:styleId="notetext2">
    <w:name w:val="note_text2"/>
    <w:basedOn w:val="Normal"/>
    <w:uiPriority w:val="99"/>
    <w:rPr>
      <w:rFonts w:ascii="Arial" w:hAnsi="Arial" w:cs="Arial"/>
      <w:color w:val="91282D"/>
      <w:sz w:val="26"/>
      <w:szCs w:val="26"/>
    </w:rPr>
  </w:style>
  <w:style w:type="paragraph" w:customStyle="1" w:styleId="notetextsmall">
    <w:name w:val="note_text_small"/>
    <w:basedOn w:val="Normal"/>
    <w:uiPriority w:val="99"/>
    <w:rPr>
      <w:rFonts w:ascii="Arial" w:hAnsi="Arial" w:cs="Arial"/>
      <w:color w:val="91282D"/>
      <w:sz w:val="18"/>
      <w:szCs w:val="18"/>
    </w:rPr>
  </w:style>
  <w:style w:type="paragraph" w:customStyle="1" w:styleId="pbig">
    <w:name w:val="p_big"/>
    <w:basedOn w:val="Normal"/>
    <w:uiPriority w:val="99"/>
  </w:style>
  <w:style w:type="paragraph" w:customStyle="1" w:styleId="menuitem">
    <w:name w:val="menu_item"/>
    <w:basedOn w:val="Normal"/>
    <w:uiPriority w:val="99"/>
    <w:pPr>
      <w:spacing w:before="105" w:beforeAutospacing="0" w:after="105" w:afterAutospacing="0"/>
      <w:ind w:left="300" w:right="105"/>
    </w:pPr>
    <w:rPr>
      <w:rFonts w:ascii="Arial" w:hAnsi="Arial" w:cs="Arial"/>
      <w:b/>
      <w:bCs/>
      <w:color w:val="355069"/>
    </w:rPr>
  </w:style>
  <w:style w:type="paragraph" w:customStyle="1" w:styleId="submenuitem">
    <w:name w:val="submenu_item"/>
    <w:basedOn w:val="Normal"/>
    <w:uiPriority w:val="99"/>
    <w:rPr>
      <w:rFonts w:ascii="Arial" w:hAnsi="Arial" w:cs="Arial"/>
      <w:color w:val="355069"/>
      <w:sz w:val="20"/>
      <w:szCs w:val="20"/>
    </w:rPr>
  </w:style>
  <w:style w:type="paragraph" w:customStyle="1" w:styleId="submenuleft">
    <w:name w:val="submenu_left"/>
    <w:basedOn w:val="Normal"/>
    <w:uiPriority w:val="99"/>
    <w:pPr>
      <w:shd w:val="clear" w:color="auto" w:fill="99A39E"/>
    </w:pPr>
  </w:style>
  <w:style w:type="paragraph" w:customStyle="1" w:styleId="submenuright">
    <w:name w:val="submenu_right"/>
    <w:basedOn w:val="Normal"/>
    <w:uiPriority w:val="99"/>
    <w:pPr>
      <w:shd w:val="clear" w:color="auto" w:fill="FDF6D3"/>
    </w:pPr>
  </w:style>
  <w:style w:type="paragraph" w:customStyle="1" w:styleId="infocardinfoblocksbg">
    <w:name w:val="info_card_infoblocks_bg"/>
    <w:basedOn w:val="Normal"/>
    <w:uiPriority w:val="99"/>
    <w:pPr>
      <w:shd w:val="clear" w:color="auto" w:fill="99A4A0"/>
      <w:spacing w:before="75" w:beforeAutospacing="0" w:after="75" w:afterAutospacing="0"/>
      <w:ind w:left="75" w:right="75"/>
    </w:pPr>
  </w:style>
  <w:style w:type="paragraph" w:customStyle="1" w:styleId="infoblockbg">
    <w:name w:val="infoblock_bg"/>
    <w:basedOn w:val="Normal"/>
    <w:uiPriority w:val="99"/>
    <w:pPr>
      <w:shd w:val="clear" w:color="auto" w:fill="DFDECE"/>
    </w:pPr>
  </w:style>
  <w:style w:type="paragraph" w:customStyle="1" w:styleId="infocardsearchblock">
    <w:name w:val="info_card_searchblock"/>
    <w:basedOn w:val="Normal"/>
    <w:uiPriority w:val="99"/>
    <w:pPr>
      <w:shd w:val="clear" w:color="auto" w:fill="DFDECE"/>
    </w:pPr>
  </w:style>
  <w:style w:type="paragraph" w:customStyle="1" w:styleId="alertblock">
    <w:name w:val="alert_block"/>
    <w:basedOn w:val="Normal"/>
    <w:uiPriority w:val="99"/>
    <w:pPr>
      <w:pBdr>
        <w:top w:val="single" w:sz="6" w:space="5" w:color="DCD9C4"/>
        <w:left w:val="single" w:sz="6" w:space="5" w:color="DCD9C4"/>
        <w:bottom w:val="single" w:sz="6" w:space="5" w:color="DCD9C4"/>
        <w:right w:val="single" w:sz="6" w:space="5" w:color="DCD9C4"/>
      </w:pBdr>
      <w:shd w:val="clear" w:color="auto" w:fill="FEFAEA"/>
      <w:spacing w:before="45" w:beforeAutospacing="0" w:after="45" w:afterAutospacing="0"/>
      <w:ind w:left="45" w:right="45"/>
    </w:pPr>
  </w:style>
  <w:style w:type="paragraph" w:customStyle="1" w:styleId="docinfoblock">
    <w:name w:val="docinfo_block"/>
    <w:basedOn w:val="Normal"/>
    <w:uiPriority w:val="99"/>
    <w:pPr>
      <w:pBdr>
        <w:top w:val="single" w:sz="6" w:space="5" w:color="DCD9C4"/>
        <w:left w:val="single" w:sz="6" w:space="5" w:color="DCD9C4"/>
        <w:bottom w:val="single" w:sz="6" w:space="5" w:color="DCD9C4"/>
        <w:right w:val="single" w:sz="6" w:space="5" w:color="DCD9C4"/>
      </w:pBdr>
      <w:shd w:val="clear" w:color="auto" w:fill="FEFAEA"/>
      <w:spacing w:before="45" w:beforeAutospacing="0" w:after="45" w:afterAutospacing="0"/>
      <w:ind w:left="45" w:right="45"/>
    </w:pPr>
  </w:style>
  <w:style w:type="paragraph" w:customStyle="1" w:styleId="searchresults">
    <w:name w:val="search_results"/>
    <w:basedOn w:val="Normal"/>
    <w:uiPriority w:val="99"/>
    <w:pPr>
      <w:pBdr>
        <w:top w:val="single" w:sz="12" w:space="15" w:color="CBC7B3"/>
        <w:bottom w:val="single" w:sz="12" w:space="15" w:color="CBC7B3"/>
      </w:pBdr>
      <w:shd w:val="clear" w:color="auto" w:fill="FEFAEA"/>
    </w:pPr>
  </w:style>
  <w:style w:type="paragraph" w:customStyle="1" w:styleId="podval">
    <w:name w:val="podval"/>
    <w:basedOn w:val="Normal"/>
    <w:uiPriority w:val="99"/>
    <w:pPr>
      <w:pBdr>
        <w:top w:val="single" w:sz="12" w:space="15" w:color="CBC7B3"/>
        <w:bottom w:val="single" w:sz="12" w:space="15" w:color="CBC7B3"/>
      </w:pBdr>
      <w:shd w:val="clear" w:color="auto" w:fill="DCD9C4"/>
    </w:pPr>
  </w:style>
  <w:style w:type="paragraph" w:styleId="NormalWeb">
    <w:name w:val="Normal (Web)"/>
    <w:basedOn w:val="Normal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538615"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file:///C:\REESTR\RNAweb.nsf\rna_bg.gif%3fOpenImageResource" TargetMode="Externa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7</Pages>
  <Words>2722</Words>
  <Characters>15520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5</cp:revision>
  <dcterms:created xsi:type="dcterms:W3CDTF">2022-09-30T08:18:00Z</dcterms:created>
  <dcterms:modified xsi:type="dcterms:W3CDTF">2022-09-30T08:31:00Z</dcterms:modified>
</cp:coreProperties>
</file>