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916" w:rsidRPr="00517972" w:rsidRDefault="003E7916" w:rsidP="003E7916">
      <w:pPr>
        <w:pStyle w:val="ShapkaDocumentu"/>
        <w:spacing w:after="0"/>
        <w:ind w:left="10490"/>
        <w:rPr>
          <w:rFonts w:ascii="Times New Roman" w:hAnsi="Times New Roman"/>
          <w:sz w:val="24"/>
          <w:szCs w:val="24"/>
        </w:rPr>
      </w:pPr>
      <w:bookmarkStart w:id="0" w:name="_GoBack"/>
      <w:bookmarkEnd w:id="0"/>
      <w:r w:rsidRPr="00517972">
        <w:rPr>
          <w:rFonts w:ascii="Times New Roman" w:hAnsi="Times New Roman"/>
          <w:sz w:val="24"/>
          <w:szCs w:val="24"/>
        </w:rPr>
        <w:t xml:space="preserve">Додаток </w:t>
      </w:r>
      <w:r w:rsidRPr="00517972">
        <w:rPr>
          <w:rFonts w:ascii="Times New Roman" w:hAnsi="Times New Roman"/>
          <w:sz w:val="24"/>
          <w:szCs w:val="24"/>
          <w:lang w:val="ru-RU"/>
        </w:rPr>
        <w:br/>
      </w:r>
      <w:r w:rsidRPr="00517972">
        <w:rPr>
          <w:rFonts w:ascii="Times New Roman" w:hAnsi="Times New Roman"/>
          <w:sz w:val="24"/>
          <w:szCs w:val="24"/>
        </w:rPr>
        <w:t>до Концепції</w:t>
      </w:r>
    </w:p>
    <w:p w:rsidR="003E7916" w:rsidRPr="00517972" w:rsidRDefault="003E7916" w:rsidP="003E7916">
      <w:pPr>
        <w:pStyle w:val="ad"/>
        <w:spacing w:before="0" w:after="0"/>
        <w:rPr>
          <w:rFonts w:ascii="Times New Roman" w:hAnsi="Times New Roman"/>
          <w:b w:val="0"/>
          <w:sz w:val="24"/>
          <w:szCs w:val="24"/>
        </w:rPr>
      </w:pPr>
      <w:r w:rsidRPr="00517972">
        <w:rPr>
          <w:rFonts w:ascii="Times New Roman" w:hAnsi="Times New Roman"/>
          <w:b w:val="0"/>
          <w:sz w:val="24"/>
          <w:szCs w:val="24"/>
        </w:rPr>
        <w:t>ПЕРЕЛІК</w:t>
      </w:r>
      <w:r w:rsidRPr="00517972">
        <w:rPr>
          <w:rFonts w:ascii="Times New Roman" w:hAnsi="Times New Roman"/>
          <w:b w:val="0"/>
          <w:sz w:val="24"/>
          <w:szCs w:val="24"/>
        </w:rPr>
        <w:br/>
        <w:t xml:space="preserve">завдань і заходів з реалізації Концепції </w:t>
      </w:r>
      <w:r w:rsidRPr="00517972">
        <w:rPr>
          <w:rFonts w:ascii="Times New Roman" w:hAnsi="Times New Roman"/>
          <w:b w:val="0"/>
          <w:sz w:val="24"/>
          <w:szCs w:val="24"/>
        </w:rPr>
        <w:br/>
        <w:t>трансформації системи військової освіти</w:t>
      </w:r>
    </w:p>
    <w:tbl>
      <w:tblPr>
        <w:tblW w:w="15600" w:type="dxa"/>
        <w:tblInd w:w="-176" w:type="dxa"/>
        <w:tblLayout w:type="fixed"/>
        <w:tblLook w:val="04A0" w:firstRow="1" w:lastRow="0" w:firstColumn="1" w:lastColumn="0" w:noHBand="0" w:noVBand="1"/>
      </w:tblPr>
      <w:tblGrid>
        <w:gridCol w:w="752"/>
        <w:gridCol w:w="2367"/>
        <w:gridCol w:w="3546"/>
        <w:gridCol w:w="3546"/>
        <w:gridCol w:w="3687"/>
        <w:gridCol w:w="1702"/>
      </w:tblGrid>
      <w:tr w:rsidR="003E7916" w:rsidRPr="000113A4" w:rsidTr="003E7916">
        <w:trPr>
          <w:tblHeader/>
        </w:trPr>
        <w:tc>
          <w:tcPr>
            <w:tcW w:w="3119" w:type="dxa"/>
            <w:gridSpan w:val="2"/>
            <w:tcBorders>
              <w:top w:val="single" w:sz="4" w:space="0" w:color="auto"/>
              <w:left w:val="nil"/>
              <w:bottom w:val="single" w:sz="4" w:space="0" w:color="auto"/>
              <w:right w:val="single" w:sz="4" w:space="0" w:color="auto"/>
            </w:tcBorders>
            <w:vAlign w:val="center"/>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Найменування завдання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Найменування заходу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Відповідальні за виконання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Показники досягнення</w:t>
            </w:r>
          </w:p>
        </w:tc>
        <w:tc>
          <w:tcPr>
            <w:tcW w:w="1701" w:type="dxa"/>
            <w:tcBorders>
              <w:top w:val="single" w:sz="4" w:space="0" w:color="auto"/>
              <w:left w:val="single" w:sz="4" w:space="0" w:color="auto"/>
              <w:bottom w:val="single" w:sz="4" w:space="0" w:color="auto"/>
              <w:right w:val="nil"/>
            </w:tcBorders>
            <w:vAlign w:val="center"/>
            <w:hideMark/>
          </w:tcPr>
          <w:p w:rsidR="003E7916" w:rsidRPr="000113A4" w:rsidRDefault="003E7916">
            <w:pPr>
              <w:pStyle w:val="a4"/>
              <w:spacing w:line="228" w:lineRule="auto"/>
              <w:ind w:left="-108" w:right="-108" w:firstLine="0"/>
              <w:jc w:val="center"/>
              <w:rPr>
                <w:rFonts w:ascii="Times New Roman" w:hAnsi="Times New Roman"/>
                <w:sz w:val="24"/>
                <w:szCs w:val="24"/>
              </w:rPr>
            </w:pPr>
            <w:r w:rsidRPr="000113A4">
              <w:rPr>
                <w:rFonts w:ascii="Times New Roman" w:hAnsi="Times New Roman"/>
                <w:sz w:val="24"/>
                <w:szCs w:val="24"/>
              </w:rPr>
              <w:t>Орієнтовний строк виконання</w:t>
            </w:r>
          </w:p>
        </w:tc>
      </w:tr>
      <w:tr w:rsidR="003E7916" w:rsidRPr="000113A4" w:rsidTr="003E7916">
        <w:tc>
          <w:tcPr>
            <w:tcW w:w="3119" w:type="dxa"/>
            <w:gridSpan w:val="2"/>
            <w:vMerge w:val="restart"/>
            <w:tcBorders>
              <w:top w:val="single" w:sz="4" w:space="0" w:color="auto"/>
              <w:left w:val="nil"/>
              <w:bottom w:val="nil"/>
              <w:right w:val="nil"/>
            </w:tcBorders>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1.</w:t>
            </w:r>
            <w:r w:rsidRPr="000113A4">
              <w:rPr>
                <w:rFonts w:ascii="Times New Roman" w:hAnsi="Times New Roman"/>
                <w:sz w:val="24"/>
                <w:szCs w:val="24"/>
                <w:lang w:val="ru-RU"/>
              </w:rPr>
              <w:t xml:space="preserve"> </w:t>
            </w:r>
            <w:r w:rsidRPr="000113A4">
              <w:rPr>
                <w:rFonts w:ascii="Times New Roman" w:hAnsi="Times New Roman"/>
                <w:sz w:val="24"/>
                <w:szCs w:val="24"/>
              </w:rPr>
              <w:t>Створення багаторівневої системи професійної військової освіти відповідно до стандартів НАТО, кращих вітчизняних та закордонних практик, власного досвіду ведення бойових дій</w:t>
            </w:r>
          </w:p>
        </w:tc>
        <w:tc>
          <w:tcPr>
            <w:tcW w:w="3544" w:type="dxa"/>
            <w:tcBorders>
              <w:top w:val="single" w:sz="4" w:space="0" w:color="auto"/>
              <w:left w:val="nil"/>
              <w:bottom w:val="nil"/>
              <w:right w:val="nil"/>
            </w:tcBorders>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1) удосконалення нормативно-правової бази з питань військової освіти</w:t>
            </w:r>
          </w:p>
        </w:tc>
        <w:tc>
          <w:tcPr>
            <w:tcW w:w="3544" w:type="dxa"/>
            <w:vMerge w:val="restart"/>
            <w:tcBorders>
              <w:top w:val="single" w:sz="4" w:space="0" w:color="auto"/>
              <w:left w:val="nil"/>
              <w:bottom w:val="nil"/>
              <w:right w:val="nil"/>
            </w:tcBorders>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Міноборони, МВС, Адміністрація Держприкордонслужби, Адміністрація Держспецзвʼязку, Генеральний штаб Збройних Сил (за згодою), Головне управління розвідки Міноборони (за згодою), Адміністрація Держспецтрансслужби (за згодою), Головне управління Національної гвардії (за згодою), СБУ (за згодою), Управління державної охорони (за згодою)</w:t>
            </w:r>
          </w:p>
        </w:tc>
        <w:tc>
          <w:tcPr>
            <w:tcW w:w="3685" w:type="dxa"/>
            <w:tcBorders>
              <w:top w:val="single" w:sz="4" w:space="0" w:color="auto"/>
              <w:left w:val="nil"/>
              <w:bottom w:val="nil"/>
              <w:right w:val="nil"/>
            </w:tcBorders>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нормативно-правові акти з питань військової освіти приведено у відповідність з національним законодавством </w:t>
            </w:r>
          </w:p>
        </w:tc>
        <w:tc>
          <w:tcPr>
            <w:tcW w:w="1701" w:type="dxa"/>
            <w:tcBorders>
              <w:top w:val="single" w:sz="4" w:space="0" w:color="auto"/>
              <w:left w:val="nil"/>
              <w:bottom w:val="nil"/>
              <w:right w:val="nil"/>
            </w:tcBorders>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2024 рік</w:t>
            </w:r>
          </w:p>
        </w:tc>
      </w:tr>
      <w:tr w:rsidR="003E7916" w:rsidRPr="000113A4" w:rsidTr="003E7916">
        <w:tc>
          <w:tcPr>
            <w:tcW w:w="5485" w:type="dxa"/>
            <w:gridSpan w:val="2"/>
            <w:vMerge/>
            <w:tcBorders>
              <w:top w:val="single" w:sz="4" w:space="0" w:color="auto"/>
              <w:left w:val="nil"/>
              <w:bottom w:val="nil"/>
              <w:right w:val="nil"/>
            </w:tcBorders>
            <w:vAlign w:val="center"/>
            <w:hideMark/>
          </w:tcPr>
          <w:p w:rsidR="003E7916" w:rsidRPr="000113A4" w:rsidRDefault="003E7916">
            <w:pPr>
              <w:rPr>
                <w:rFonts w:ascii="Times New Roman" w:hAnsi="Times New Roman"/>
                <w:sz w:val="24"/>
                <w:szCs w:val="24"/>
              </w:rPr>
            </w:pP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2) розроблення та введення в дію професійних стандартів за всіма рівнями військової освіти (тактичний, оперативний, стратегічний) для сил оборони</w:t>
            </w:r>
          </w:p>
        </w:tc>
        <w:tc>
          <w:tcPr>
            <w:tcW w:w="3544" w:type="dxa"/>
            <w:vMerge/>
            <w:tcBorders>
              <w:top w:val="single" w:sz="4" w:space="0" w:color="auto"/>
              <w:left w:val="nil"/>
              <w:bottom w:val="nil"/>
              <w:right w:val="nil"/>
            </w:tcBorders>
            <w:vAlign w:val="center"/>
            <w:hideMark/>
          </w:tcPr>
          <w:p w:rsidR="003E7916" w:rsidRPr="000113A4" w:rsidRDefault="003E7916">
            <w:pPr>
              <w:rPr>
                <w:rFonts w:ascii="Times New Roman" w:hAnsi="Times New Roman"/>
                <w:sz w:val="24"/>
                <w:szCs w:val="24"/>
              </w:rPr>
            </w:pP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розроблено та введено в дію 100 відсотків професійних стандартів</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w:t>
            </w:r>
          </w:p>
        </w:tc>
      </w:tr>
      <w:tr w:rsidR="003E7916" w:rsidRPr="000113A4" w:rsidTr="003E7916">
        <w:tc>
          <w:tcPr>
            <w:tcW w:w="5485" w:type="dxa"/>
            <w:gridSpan w:val="2"/>
            <w:vMerge/>
            <w:tcBorders>
              <w:top w:val="single" w:sz="4" w:space="0" w:color="auto"/>
              <w:left w:val="nil"/>
              <w:bottom w:val="nil"/>
              <w:right w:val="nil"/>
            </w:tcBorders>
            <w:vAlign w:val="center"/>
            <w:hideMark/>
          </w:tcPr>
          <w:p w:rsidR="003E7916" w:rsidRPr="000113A4" w:rsidRDefault="003E7916">
            <w:pPr>
              <w:rPr>
                <w:rFonts w:ascii="Times New Roman" w:hAnsi="Times New Roman"/>
                <w:sz w:val="24"/>
                <w:szCs w:val="24"/>
              </w:rPr>
            </w:pP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3) розроблення та введення в дію освітніх програм курсів професійної військової освіти відповідно до досвіду держав — членів НАТО, Європейського Союзу та власного досвіду ведення бойових дій Збройних Сил та інших складових сил оборони</w:t>
            </w:r>
          </w:p>
        </w:tc>
        <w:tc>
          <w:tcPr>
            <w:tcW w:w="3544" w:type="dxa"/>
            <w:vMerge/>
            <w:tcBorders>
              <w:top w:val="single" w:sz="4" w:space="0" w:color="auto"/>
              <w:left w:val="nil"/>
              <w:bottom w:val="nil"/>
              <w:right w:val="nil"/>
            </w:tcBorders>
            <w:vAlign w:val="center"/>
            <w:hideMark/>
          </w:tcPr>
          <w:p w:rsidR="003E7916" w:rsidRPr="000113A4" w:rsidRDefault="003E7916">
            <w:pPr>
              <w:rPr>
                <w:rFonts w:ascii="Times New Roman" w:hAnsi="Times New Roman"/>
                <w:sz w:val="24"/>
                <w:szCs w:val="24"/>
              </w:rPr>
            </w:pP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розроблено та введено в дію 100 відсотків освітніх програм, передбачених курсами професійної військової освіти</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w:t>
            </w:r>
          </w:p>
        </w:tc>
      </w:tr>
      <w:tr w:rsidR="003E7916" w:rsidRPr="000113A4" w:rsidTr="003E7916">
        <w:tc>
          <w:tcPr>
            <w:tcW w:w="3119" w:type="dxa"/>
            <w:gridSpan w:val="2"/>
            <w:vMerge w:val="restart"/>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2. Досягнення взаємосумісності структури професійної військової освіти для підготовки військових фахівців Збройних Сил та інших складових сил оборони з </w:t>
            </w:r>
            <w:r w:rsidRPr="000113A4">
              <w:rPr>
                <w:rFonts w:ascii="Times New Roman" w:hAnsi="Times New Roman"/>
                <w:sz w:val="24"/>
                <w:szCs w:val="24"/>
              </w:rPr>
              <w:lastRenderedPageBreak/>
              <w:t>відповідними структурами держав — членів НАТО</w:t>
            </w: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lastRenderedPageBreak/>
              <w:t>1) впровадження вимог стандарту НАТО BI-SCD 075-007 “Освіта і підготовка” в освітню діяльність військових навчальних закладів</w:t>
            </w:r>
          </w:p>
        </w:tc>
        <w:tc>
          <w:tcPr>
            <w:tcW w:w="3544" w:type="dxa"/>
            <w:vMerge w:val="restart"/>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Міноборони, МВС, Адміністрація Держприкордонслужби, Генеральний штаб Збройних Сил (за згодою), Головне управління розвідки Міноборони </w:t>
            </w:r>
            <w:r w:rsidRPr="000113A4">
              <w:rPr>
                <w:rFonts w:ascii="Times New Roman" w:hAnsi="Times New Roman"/>
                <w:sz w:val="24"/>
                <w:szCs w:val="24"/>
              </w:rPr>
              <w:br/>
              <w:t xml:space="preserve">(за згодою), Адміністрація </w:t>
            </w:r>
            <w:r w:rsidRPr="000113A4">
              <w:rPr>
                <w:rFonts w:ascii="Times New Roman" w:hAnsi="Times New Roman"/>
                <w:sz w:val="24"/>
                <w:szCs w:val="24"/>
              </w:rPr>
              <w:lastRenderedPageBreak/>
              <w:t>Держспецтрансслужби</w:t>
            </w:r>
            <w:r w:rsidRPr="000113A4">
              <w:rPr>
                <w:rFonts w:ascii="Times New Roman" w:hAnsi="Times New Roman"/>
                <w:sz w:val="24"/>
                <w:szCs w:val="24"/>
              </w:rPr>
              <w:br/>
              <w:t>(за згодою), Головне управління Національної гвардії (за згодою), СБУ (за згодою)</w:t>
            </w:r>
          </w:p>
        </w:tc>
        <w:tc>
          <w:tcPr>
            <w:tcW w:w="3685" w:type="dxa"/>
            <w:hideMark/>
          </w:tcPr>
          <w:p w:rsidR="003E7916" w:rsidRPr="000113A4" w:rsidRDefault="003E7916">
            <w:pPr>
              <w:pStyle w:val="a4"/>
              <w:spacing w:line="228" w:lineRule="auto"/>
              <w:ind w:right="-106" w:firstLine="0"/>
              <w:rPr>
                <w:rFonts w:ascii="Times New Roman" w:hAnsi="Times New Roman"/>
                <w:sz w:val="24"/>
                <w:szCs w:val="24"/>
                <w:lang w:val="ru-RU"/>
              </w:rPr>
            </w:pPr>
            <w:r w:rsidRPr="000113A4">
              <w:rPr>
                <w:rFonts w:ascii="Times New Roman" w:hAnsi="Times New Roman"/>
                <w:sz w:val="24"/>
                <w:szCs w:val="24"/>
              </w:rPr>
              <w:lastRenderedPageBreak/>
              <w:t xml:space="preserve">стандарт НАТО BI-SCD </w:t>
            </w:r>
            <w:r w:rsidRPr="000113A4">
              <w:rPr>
                <w:rFonts w:ascii="Times New Roman" w:hAnsi="Times New Roman"/>
                <w:sz w:val="24"/>
                <w:szCs w:val="24"/>
              </w:rPr>
              <w:br/>
              <w:t>075-007 “Освіта і підготовка” впроваджено в освітню діяльність військових навчальних закладів</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2024 рік</w:t>
            </w:r>
          </w:p>
        </w:tc>
      </w:tr>
      <w:tr w:rsidR="003E7916" w:rsidRPr="000113A4" w:rsidTr="003E7916">
        <w:tc>
          <w:tcPr>
            <w:tcW w:w="5485" w:type="dxa"/>
            <w:gridSpan w:val="2"/>
            <w:vMerge/>
            <w:vAlign w:val="center"/>
            <w:hideMark/>
          </w:tcPr>
          <w:p w:rsidR="003E7916" w:rsidRPr="000113A4" w:rsidRDefault="003E7916">
            <w:pPr>
              <w:rPr>
                <w:rFonts w:ascii="Times New Roman" w:hAnsi="Times New Roman"/>
                <w:sz w:val="24"/>
                <w:szCs w:val="24"/>
              </w:rPr>
            </w:pP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2) створення умов для проведення сертифікації </w:t>
            </w:r>
            <w:r w:rsidRPr="000113A4">
              <w:rPr>
                <w:rFonts w:ascii="Times New Roman" w:hAnsi="Times New Roman"/>
                <w:sz w:val="24"/>
                <w:szCs w:val="24"/>
              </w:rPr>
              <w:lastRenderedPageBreak/>
              <w:t xml:space="preserve">(акредитації) курсів професійної військової освіти за стандартами </w:t>
            </w:r>
            <w:r w:rsidRPr="000113A4">
              <w:rPr>
                <w:rFonts w:ascii="Times New Roman" w:hAnsi="Times New Roman"/>
                <w:sz w:val="24"/>
                <w:szCs w:val="24"/>
              </w:rPr>
              <w:br/>
              <w:t>держав — членів НАТО</w:t>
            </w:r>
          </w:p>
        </w:tc>
        <w:tc>
          <w:tcPr>
            <w:tcW w:w="3544" w:type="dxa"/>
            <w:vMerge/>
            <w:vAlign w:val="center"/>
            <w:hideMark/>
          </w:tcPr>
          <w:p w:rsidR="003E7916" w:rsidRPr="000113A4" w:rsidRDefault="003E7916">
            <w:pPr>
              <w:rPr>
                <w:rFonts w:ascii="Times New Roman" w:hAnsi="Times New Roman"/>
                <w:sz w:val="24"/>
                <w:szCs w:val="24"/>
              </w:rPr>
            </w:pPr>
          </w:p>
        </w:tc>
        <w:tc>
          <w:tcPr>
            <w:tcW w:w="3685" w:type="dxa"/>
            <w:hideMark/>
          </w:tcPr>
          <w:p w:rsidR="003E7916" w:rsidRPr="000113A4" w:rsidRDefault="003E7916">
            <w:pPr>
              <w:pStyle w:val="a4"/>
              <w:spacing w:line="228" w:lineRule="auto"/>
              <w:ind w:right="-108" w:firstLine="0"/>
              <w:rPr>
                <w:rFonts w:ascii="Times New Roman" w:hAnsi="Times New Roman"/>
                <w:sz w:val="24"/>
                <w:szCs w:val="24"/>
              </w:rPr>
            </w:pPr>
            <w:r w:rsidRPr="000113A4">
              <w:rPr>
                <w:rFonts w:ascii="Times New Roman" w:hAnsi="Times New Roman"/>
                <w:sz w:val="24"/>
                <w:szCs w:val="24"/>
              </w:rPr>
              <w:t xml:space="preserve">курси професійної </w:t>
            </w:r>
            <w:r w:rsidRPr="000113A4">
              <w:rPr>
                <w:rFonts w:ascii="Times New Roman" w:hAnsi="Times New Roman"/>
                <w:sz w:val="24"/>
                <w:szCs w:val="24"/>
              </w:rPr>
              <w:br/>
              <w:t xml:space="preserve">військової освіти сертифіковані </w:t>
            </w:r>
            <w:r w:rsidRPr="000113A4">
              <w:rPr>
                <w:rFonts w:ascii="Times New Roman" w:hAnsi="Times New Roman"/>
                <w:sz w:val="24"/>
                <w:szCs w:val="24"/>
              </w:rPr>
              <w:lastRenderedPageBreak/>
              <w:t>(акредитовані) за стандартами держав — членів НАТО</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lastRenderedPageBreak/>
              <w:t>2032 рік</w:t>
            </w:r>
          </w:p>
        </w:tc>
      </w:tr>
      <w:tr w:rsidR="003E7916" w:rsidRPr="000113A4" w:rsidTr="003E7916">
        <w:tc>
          <w:tcPr>
            <w:tcW w:w="3119" w:type="dxa"/>
            <w:gridSpan w:val="2"/>
            <w:vMerge w:val="restart"/>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lastRenderedPageBreak/>
              <w:t>3. Забезпечення та організація  спільної централізованої підготовки офіцерського складу оперативного та стратегічного рівнів Збройних Сил та інших складових сил оборони</w:t>
            </w: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1) створення курсів професійної військової освіти оперативного та стратегічного рівнів для спільної підготовки офіцерського складу Збройних Сил та інших складових сил оборони за єдиними освітніми програмами</w:t>
            </w: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Міноборони, МВС, Адміністрація Держприкордонслужби, Адміністрація Держспецзвʼязку, Генеральний штаб Збройних Сил (за згодою), Головне управління розвідки Міноборони (за згодою), Адміністрація Держспецтрансслужби (за згодою), Головне управління Національної гвардії (за згодою), СБУ (за згодою), Управління державної охорони (за згодою)</w:t>
            </w: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розпочато спільну підготовку офіцерського складу Збройних Сил та інших складових сил оборони на курсах професійної військової освіти оперативного та стратегічного рівнів в Національному університеті оборони України імені Івана Черняховського</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2025 рік</w:t>
            </w:r>
          </w:p>
        </w:tc>
      </w:tr>
      <w:tr w:rsidR="003E7916" w:rsidRPr="000113A4" w:rsidTr="003E7916">
        <w:tc>
          <w:tcPr>
            <w:tcW w:w="5485" w:type="dxa"/>
            <w:gridSpan w:val="2"/>
            <w:vMerge/>
            <w:vAlign w:val="center"/>
            <w:hideMark/>
          </w:tcPr>
          <w:p w:rsidR="003E7916" w:rsidRPr="000113A4" w:rsidRDefault="003E7916">
            <w:pPr>
              <w:rPr>
                <w:rFonts w:ascii="Times New Roman" w:hAnsi="Times New Roman"/>
                <w:sz w:val="24"/>
                <w:szCs w:val="24"/>
              </w:rPr>
            </w:pP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2) створення матеріально-технічної бази, підготовка наукового та науково-педагогічного складу вищих військових навчальних закладів МВС для започаткування курсів професійної військової освіти оперативного рівня за єдиними освітніми програмами</w:t>
            </w: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МВС, Адміністрація Держприкордонслужби, Головне управління Національної гвардії (за згодою) </w:t>
            </w:r>
          </w:p>
        </w:tc>
        <w:tc>
          <w:tcPr>
            <w:tcW w:w="3685" w:type="dxa"/>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після набуття відповідних спроможностей та погодження з Міноборони розпочато підготовку офіцерського складу Національної гвардії та Держприкордонслужби </w:t>
            </w:r>
            <w:r w:rsidRPr="000113A4">
              <w:rPr>
                <w:rFonts w:ascii="Times New Roman" w:hAnsi="Times New Roman"/>
                <w:sz w:val="24"/>
                <w:szCs w:val="24"/>
              </w:rPr>
              <w:br/>
              <w:t>на курсах професійної військової освіти оперативного рівня у вищих військових навчальних закладах МВС за єдиними освітніми програмами</w:t>
            </w:r>
          </w:p>
          <w:p w:rsidR="003E7916" w:rsidRPr="000113A4" w:rsidRDefault="003E7916">
            <w:pPr>
              <w:pStyle w:val="a4"/>
              <w:spacing w:line="228" w:lineRule="auto"/>
              <w:ind w:firstLine="0"/>
              <w:rPr>
                <w:rFonts w:ascii="Times New Roman" w:hAnsi="Times New Roman"/>
                <w:sz w:val="24"/>
                <w:szCs w:val="24"/>
              </w:rPr>
            </w:pPr>
          </w:p>
          <w:p w:rsidR="003E7916" w:rsidRPr="000113A4" w:rsidRDefault="003E7916">
            <w:pPr>
              <w:pStyle w:val="a4"/>
              <w:spacing w:line="228" w:lineRule="auto"/>
              <w:ind w:firstLine="0"/>
              <w:rPr>
                <w:rFonts w:ascii="Times New Roman" w:hAnsi="Times New Roman"/>
                <w:sz w:val="24"/>
                <w:szCs w:val="24"/>
              </w:rPr>
            </w:pP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lastRenderedPageBreak/>
              <w:t>2026 рік</w:t>
            </w:r>
          </w:p>
        </w:tc>
      </w:tr>
      <w:tr w:rsidR="003E7916" w:rsidRPr="000113A4" w:rsidTr="003E7916">
        <w:tc>
          <w:tcPr>
            <w:tcW w:w="3119" w:type="dxa"/>
            <w:gridSpan w:val="2"/>
            <w:vMerge w:val="restart"/>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lastRenderedPageBreak/>
              <w:t>4. Забезпечення реалізації принципу “Освіта продовж усієї військової кар’єри”</w:t>
            </w:r>
          </w:p>
        </w:tc>
        <w:tc>
          <w:tcPr>
            <w:tcW w:w="3544" w:type="dxa"/>
            <w:vAlign w:val="center"/>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1) розроблення каталогу курсів професійної військової освіти та курсів підвищення кваліфікації військовослужбовців, державних службовців і працівників Збройних Сил, визначення послідовності їх опанування, періодичності та строків проведення</w:t>
            </w:r>
          </w:p>
        </w:tc>
        <w:tc>
          <w:tcPr>
            <w:tcW w:w="3544" w:type="dxa"/>
            <w:vMerge w:val="restart"/>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Міноборони, </w:t>
            </w:r>
            <w:r w:rsidRPr="000113A4">
              <w:rPr>
                <w:rFonts w:ascii="Times New Roman" w:hAnsi="Times New Roman"/>
                <w:sz w:val="24"/>
                <w:szCs w:val="24"/>
              </w:rPr>
              <w:br/>
              <w:t>Генеральний штаб Збройних Сил (за згодою), Адміністрація Держспецтрансслужби (за згодою)</w:t>
            </w: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каталог курсів професійної військової освіти та курсів підвищення кваліфікації затверджено наказом Міноборони</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2026 рік</w:t>
            </w:r>
          </w:p>
        </w:tc>
      </w:tr>
      <w:tr w:rsidR="003E7916" w:rsidRPr="000113A4" w:rsidTr="003E7916">
        <w:tc>
          <w:tcPr>
            <w:tcW w:w="5485" w:type="dxa"/>
            <w:gridSpan w:val="2"/>
            <w:vMerge/>
            <w:vAlign w:val="center"/>
            <w:hideMark/>
          </w:tcPr>
          <w:p w:rsidR="003E7916" w:rsidRPr="000113A4" w:rsidRDefault="003E7916">
            <w:pPr>
              <w:rPr>
                <w:rFonts w:ascii="Times New Roman" w:hAnsi="Times New Roman"/>
                <w:sz w:val="24"/>
                <w:szCs w:val="24"/>
              </w:rPr>
            </w:pPr>
          </w:p>
        </w:tc>
        <w:tc>
          <w:tcPr>
            <w:tcW w:w="3544" w:type="dxa"/>
            <w:hideMark/>
          </w:tcPr>
          <w:p w:rsidR="003E7916" w:rsidRPr="000113A4" w:rsidRDefault="003E7916">
            <w:pPr>
              <w:pStyle w:val="a4"/>
              <w:spacing w:line="228" w:lineRule="auto"/>
              <w:ind w:right="-84" w:firstLine="0"/>
              <w:rPr>
                <w:rFonts w:ascii="Times New Roman" w:hAnsi="Times New Roman"/>
                <w:sz w:val="24"/>
                <w:szCs w:val="24"/>
              </w:rPr>
            </w:pPr>
            <w:r w:rsidRPr="000113A4">
              <w:rPr>
                <w:rFonts w:ascii="Times New Roman" w:hAnsi="Times New Roman"/>
                <w:sz w:val="24"/>
                <w:szCs w:val="24"/>
              </w:rPr>
              <w:t xml:space="preserve">2) розширення переліку курсів підвищення </w:t>
            </w:r>
            <w:r w:rsidRPr="000113A4">
              <w:rPr>
                <w:rFonts w:ascii="Times New Roman" w:hAnsi="Times New Roman"/>
                <w:spacing w:val="-4"/>
                <w:sz w:val="24"/>
                <w:szCs w:val="24"/>
              </w:rPr>
              <w:t>кваліфікації військовослужбовців,</w:t>
            </w:r>
            <w:r w:rsidRPr="000113A4">
              <w:rPr>
                <w:rFonts w:ascii="Times New Roman" w:hAnsi="Times New Roman"/>
                <w:sz w:val="24"/>
                <w:szCs w:val="24"/>
              </w:rPr>
              <w:t xml:space="preserve"> державних службовців і працівників Збройних Сил, які проводяться з використанням технологій дистанційного навчання</w:t>
            </w:r>
          </w:p>
        </w:tc>
        <w:tc>
          <w:tcPr>
            <w:tcW w:w="3544" w:type="dxa"/>
            <w:vMerge/>
            <w:vAlign w:val="center"/>
            <w:hideMark/>
          </w:tcPr>
          <w:p w:rsidR="003E7916" w:rsidRPr="000113A4" w:rsidRDefault="003E7916">
            <w:pPr>
              <w:rPr>
                <w:rFonts w:ascii="Times New Roman" w:hAnsi="Times New Roman"/>
                <w:sz w:val="24"/>
                <w:szCs w:val="24"/>
              </w:rPr>
            </w:pPr>
          </w:p>
        </w:tc>
        <w:tc>
          <w:tcPr>
            <w:tcW w:w="3685" w:type="dxa"/>
            <w:hideMark/>
          </w:tcPr>
          <w:p w:rsidR="003E7916" w:rsidRPr="000113A4" w:rsidRDefault="003E7916">
            <w:pPr>
              <w:pStyle w:val="a4"/>
              <w:spacing w:line="228" w:lineRule="auto"/>
              <w:ind w:right="-92" w:firstLine="0"/>
              <w:rPr>
                <w:rFonts w:ascii="Times New Roman" w:hAnsi="Times New Roman"/>
                <w:sz w:val="24"/>
                <w:szCs w:val="24"/>
              </w:rPr>
            </w:pPr>
            <w:r w:rsidRPr="000113A4">
              <w:rPr>
                <w:rFonts w:ascii="Times New Roman" w:hAnsi="Times New Roman"/>
                <w:sz w:val="24"/>
                <w:szCs w:val="24"/>
              </w:rPr>
              <w:t xml:space="preserve">кількість курсів </w:t>
            </w:r>
            <w:r w:rsidRPr="000113A4">
              <w:rPr>
                <w:rFonts w:ascii="Times New Roman" w:hAnsi="Times New Roman"/>
                <w:sz w:val="24"/>
                <w:szCs w:val="24"/>
              </w:rPr>
              <w:br/>
              <w:t>підвищення кваліфікації військовослужбовців, державних службовців і працівників Збройних Сил, які проводяться з використанням технологій дистанційного навчання збільшено</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2028 рік</w:t>
            </w:r>
          </w:p>
        </w:tc>
      </w:tr>
      <w:tr w:rsidR="003E7916" w:rsidRPr="000113A4" w:rsidTr="003E7916">
        <w:tc>
          <w:tcPr>
            <w:tcW w:w="3119" w:type="dxa"/>
            <w:gridSpan w:val="2"/>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5. Впровадження сучасних інформаційних, інформаційно-комунікаційних технологій і технологій дистанційного навчання</w:t>
            </w: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модернізація навчально-матеріальної бази військових навчальних закладів відповідно до їх перспективних планів розвитку та удосконалення навчально-матеріальної бази, а також стандартів НАТО</w:t>
            </w: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Міноборони, МВС, Адміністрація Держприкордонслужби, Генеральний штаб Збройних Сил (за згодою), Адміністрація Держспецтрансслужби (за згодою), Головне управління Національної гвардії (за згодою), СБУ (за згодою)</w:t>
            </w: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мережа військових навчальних закладів функціонує в єдиному інформаційному просторі</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2032 рік</w:t>
            </w:r>
          </w:p>
        </w:tc>
      </w:tr>
      <w:tr w:rsidR="003E7916" w:rsidRPr="000113A4" w:rsidTr="003E7916">
        <w:tc>
          <w:tcPr>
            <w:tcW w:w="3119" w:type="dxa"/>
            <w:gridSpan w:val="2"/>
          </w:tcPr>
          <w:p w:rsidR="003E7916" w:rsidRPr="000113A4" w:rsidRDefault="003E7916">
            <w:pPr>
              <w:pStyle w:val="a4"/>
              <w:spacing w:line="228" w:lineRule="auto"/>
              <w:ind w:firstLine="0"/>
              <w:rPr>
                <w:rFonts w:ascii="Times New Roman" w:hAnsi="Times New Roman"/>
                <w:sz w:val="24"/>
                <w:szCs w:val="24"/>
              </w:rPr>
            </w:pPr>
          </w:p>
        </w:tc>
        <w:tc>
          <w:tcPr>
            <w:tcW w:w="3544" w:type="dxa"/>
          </w:tcPr>
          <w:p w:rsidR="003E7916" w:rsidRPr="000113A4" w:rsidRDefault="003E7916">
            <w:pPr>
              <w:pStyle w:val="a4"/>
              <w:spacing w:line="228" w:lineRule="auto"/>
              <w:ind w:firstLine="0"/>
              <w:rPr>
                <w:rFonts w:ascii="Times New Roman" w:hAnsi="Times New Roman"/>
                <w:sz w:val="24"/>
                <w:szCs w:val="24"/>
              </w:rPr>
            </w:pPr>
          </w:p>
        </w:tc>
        <w:tc>
          <w:tcPr>
            <w:tcW w:w="3544" w:type="dxa"/>
          </w:tcPr>
          <w:p w:rsidR="003E7916" w:rsidRPr="000113A4" w:rsidRDefault="003E7916">
            <w:pPr>
              <w:pStyle w:val="a4"/>
              <w:spacing w:line="228" w:lineRule="auto"/>
              <w:ind w:firstLine="0"/>
              <w:rPr>
                <w:rFonts w:ascii="Times New Roman" w:hAnsi="Times New Roman"/>
                <w:sz w:val="24"/>
                <w:szCs w:val="24"/>
              </w:rPr>
            </w:pPr>
          </w:p>
        </w:tc>
        <w:tc>
          <w:tcPr>
            <w:tcW w:w="3685" w:type="dxa"/>
          </w:tcPr>
          <w:p w:rsidR="003E7916" w:rsidRPr="000113A4" w:rsidRDefault="003E7916">
            <w:pPr>
              <w:pStyle w:val="a4"/>
              <w:spacing w:line="228" w:lineRule="auto"/>
              <w:ind w:firstLine="0"/>
              <w:rPr>
                <w:rFonts w:ascii="Times New Roman" w:hAnsi="Times New Roman"/>
                <w:sz w:val="24"/>
                <w:szCs w:val="24"/>
              </w:rPr>
            </w:pPr>
          </w:p>
        </w:tc>
        <w:tc>
          <w:tcPr>
            <w:tcW w:w="1701" w:type="dxa"/>
          </w:tcPr>
          <w:p w:rsidR="003E7916" w:rsidRPr="000113A4" w:rsidRDefault="003E7916">
            <w:pPr>
              <w:pStyle w:val="a4"/>
              <w:spacing w:line="228" w:lineRule="auto"/>
              <w:ind w:firstLine="0"/>
              <w:jc w:val="center"/>
              <w:rPr>
                <w:rFonts w:ascii="Times New Roman" w:hAnsi="Times New Roman"/>
                <w:sz w:val="24"/>
                <w:szCs w:val="24"/>
              </w:rPr>
            </w:pPr>
          </w:p>
        </w:tc>
      </w:tr>
      <w:tr w:rsidR="003E7916" w:rsidRPr="000113A4" w:rsidTr="003E7916">
        <w:tc>
          <w:tcPr>
            <w:tcW w:w="3119" w:type="dxa"/>
            <w:gridSpan w:val="2"/>
            <w:vMerge w:val="restart"/>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lastRenderedPageBreak/>
              <w:t>6. Забезпечення оптимізації та уніфікації організаційно-штатної структури військових навчальних закладів та їх чисельності</w:t>
            </w: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1) удосконалення організаційно-штатної структури військових навчальних закладів Збройних Сил</w:t>
            </w:r>
          </w:p>
        </w:tc>
        <w:tc>
          <w:tcPr>
            <w:tcW w:w="3544" w:type="dxa"/>
            <w:vMerge w:val="restart"/>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Міноборони, </w:t>
            </w:r>
            <w:r w:rsidRPr="000113A4">
              <w:rPr>
                <w:rFonts w:ascii="Times New Roman" w:hAnsi="Times New Roman"/>
                <w:sz w:val="24"/>
                <w:szCs w:val="24"/>
              </w:rPr>
              <w:br/>
              <w:t>Генеральний штаб Збройних Сил (за згодою), Адміністрація Держспецтрансслужби (за згодою)</w:t>
            </w: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організаційно-штатні структури військових навчальних закладів Міноборони удосконалено</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2028 рік</w:t>
            </w:r>
          </w:p>
        </w:tc>
      </w:tr>
      <w:tr w:rsidR="003E7916" w:rsidRPr="000113A4" w:rsidTr="003E7916">
        <w:tc>
          <w:tcPr>
            <w:tcW w:w="5485" w:type="dxa"/>
            <w:gridSpan w:val="2"/>
            <w:vMerge/>
            <w:vAlign w:val="center"/>
            <w:hideMark/>
          </w:tcPr>
          <w:p w:rsidR="003E7916" w:rsidRPr="000113A4" w:rsidRDefault="003E7916">
            <w:pPr>
              <w:rPr>
                <w:rFonts w:ascii="Times New Roman" w:hAnsi="Times New Roman"/>
                <w:sz w:val="24"/>
                <w:szCs w:val="24"/>
              </w:rPr>
            </w:pP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2) оптимізація чисельності військових навчальних закладів</w:t>
            </w:r>
          </w:p>
        </w:tc>
        <w:tc>
          <w:tcPr>
            <w:tcW w:w="3544" w:type="dxa"/>
            <w:vMerge/>
            <w:vAlign w:val="center"/>
            <w:hideMark/>
          </w:tcPr>
          <w:p w:rsidR="003E7916" w:rsidRPr="000113A4" w:rsidRDefault="003E7916">
            <w:pPr>
              <w:rPr>
                <w:rFonts w:ascii="Times New Roman" w:hAnsi="Times New Roman"/>
                <w:sz w:val="24"/>
                <w:szCs w:val="24"/>
              </w:rPr>
            </w:pP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чисельність військових навчальних закладів оптимізовано з урахуванням потреб Збройних Сил </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2032 рік</w:t>
            </w:r>
          </w:p>
        </w:tc>
      </w:tr>
      <w:tr w:rsidR="003E7916" w:rsidRPr="000113A4" w:rsidTr="003E7916">
        <w:tc>
          <w:tcPr>
            <w:tcW w:w="3119" w:type="dxa"/>
            <w:gridSpan w:val="2"/>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7. Приведення рівня підготовленості науково-педагогічних (педагогічних) працівників, інструкторського складу у відповідність з метою та змістом професійної військової освіти</w:t>
            </w:r>
          </w:p>
        </w:tc>
        <w:tc>
          <w:tcPr>
            <w:tcW w:w="3544" w:type="dxa"/>
            <w:hideMark/>
          </w:tcPr>
          <w:p w:rsidR="003E7916" w:rsidRPr="000113A4" w:rsidRDefault="003E7916">
            <w:pPr>
              <w:pStyle w:val="a4"/>
              <w:spacing w:line="228" w:lineRule="auto"/>
              <w:ind w:right="-108" w:firstLine="0"/>
              <w:rPr>
                <w:rFonts w:ascii="Times New Roman" w:hAnsi="Times New Roman"/>
                <w:sz w:val="24"/>
                <w:szCs w:val="24"/>
              </w:rPr>
            </w:pPr>
            <w:r w:rsidRPr="000113A4">
              <w:rPr>
                <w:rFonts w:ascii="Times New Roman" w:hAnsi="Times New Roman"/>
                <w:sz w:val="24"/>
                <w:szCs w:val="24"/>
              </w:rPr>
              <w:t xml:space="preserve">1) визначення змісту та строків підвищення кваліфікації науково-педагогічних (педагогічних) працівників та інструкторів курсів професійної військової освіти із залученням міжнародних експертів </w:t>
            </w: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Міноборони, МВС, Адміністрація Держприкордонслужби, Генеральний штаб Збройних Сил (за згодою), Адміністрація Держспецтранслужби (за згодою), Головне управління Національної гвардії (за згодою), СБУ (за згодою)</w:t>
            </w: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розроблено та затверджено навчальні плани-програми курсів підвищення кваліфікації науково-педагогічних (педагогічних) працівників та інструкторів курсів професійної військової освіти</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2026 рік</w:t>
            </w:r>
          </w:p>
        </w:tc>
      </w:tr>
      <w:tr w:rsidR="003E7916" w:rsidRPr="000113A4" w:rsidTr="003E7916">
        <w:tc>
          <w:tcPr>
            <w:tcW w:w="3119" w:type="dxa"/>
            <w:gridSpan w:val="2"/>
            <w:vAlign w:val="center"/>
            <w:hideMark/>
          </w:tcPr>
          <w:p w:rsidR="003E7916" w:rsidRPr="000113A4" w:rsidRDefault="003E7916">
            <w:pPr>
              <w:rPr>
                <w:rFonts w:ascii="Times New Roman" w:hAnsi="Times New Roman"/>
                <w:sz w:val="24"/>
                <w:szCs w:val="24"/>
                <w:lang w:eastAsia="uk-UA"/>
              </w:rPr>
            </w:pPr>
          </w:p>
        </w:tc>
        <w:tc>
          <w:tcPr>
            <w:tcW w:w="3544" w:type="dxa"/>
            <w:vAlign w:val="center"/>
            <w:hideMark/>
          </w:tcPr>
          <w:p w:rsidR="003E7916" w:rsidRPr="000113A4" w:rsidRDefault="003E7916">
            <w:pPr>
              <w:pStyle w:val="a4"/>
              <w:spacing w:line="228" w:lineRule="auto"/>
              <w:ind w:right="-108" w:firstLine="0"/>
              <w:rPr>
                <w:rFonts w:ascii="Times New Roman" w:hAnsi="Times New Roman"/>
                <w:sz w:val="24"/>
                <w:szCs w:val="24"/>
              </w:rPr>
            </w:pPr>
            <w:r w:rsidRPr="000113A4">
              <w:rPr>
                <w:rFonts w:ascii="Times New Roman" w:hAnsi="Times New Roman"/>
                <w:sz w:val="24"/>
                <w:szCs w:val="24"/>
              </w:rPr>
              <w:t>2) організація та проведення підвищення кваліфікації науково-педагогічних (педагогічних) працівників курсів професійної військової освіти, у тому числі за Програмою НАТО “Удосконалення військової освіти” (DEEP)</w:t>
            </w:r>
          </w:p>
        </w:tc>
        <w:tc>
          <w:tcPr>
            <w:tcW w:w="3544" w:type="dxa"/>
            <w:vAlign w:val="center"/>
            <w:hideMark/>
          </w:tcPr>
          <w:p w:rsidR="003E7916" w:rsidRPr="000113A4" w:rsidRDefault="003E7916">
            <w:pPr>
              <w:rPr>
                <w:rFonts w:ascii="Times New Roman" w:hAnsi="Times New Roman"/>
                <w:sz w:val="24"/>
                <w:szCs w:val="24"/>
                <w:lang w:eastAsia="uk-UA"/>
              </w:rPr>
            </w:pP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розпочато функціонування курсів підвищення кваліфікації науково-педагогічних (педагогічних) працівників за оновленими планами-програмами</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t>2027 рік</w:t>
            </w:r>
          </w:p>
        </w:tc>
      </w:tr>
      <w:tr w:rsidR="003E7916" w:rsidRPr="000113A4" w:rsidTr="003E7916">
        <w:tc>
          <w:tcPr>
            <w:tcW w:w="3119" w:type="dxa"/>
            <w:gridSpan w:val="2"/>
            <w:vAlign w:val="center"/>
            <w:hideMark/>
          </w:tcPr>
          <w:p w:rsidR="003E7916" w:rsidRPr="000113A4" w:rsidRDefault="003E7916">
            <w:pPr>
              <w:rPr>
                <w:rFonts w:ascii="Times New Roman" w:hAnsi="Times New Roman"/>
                <w:sz w:val="24"/>
                <w:szCs w:val="24"/>
                <w:lang w:eastAsia="uk-UA"/>
              </w:rPr>
            </w:pPr>
          </w:p>
        </w:tc>
        <w:tc>
          <w:tcPr>
            <w:tcW w:w="3544" w:type="dxa"/>
            <w:vAlign w:val="center"/>
            <w:hideMark/>
          </w:tcPr>
          <w:p w:rsidR="003E7916" w:rsidRPr="000113A4" w:rsidRDefault="003E7916">
            <w:pPr>
              <w:pStyle w:val="a4"/>
              <w:spacing w:line="228" w:lineRule="auto"/>
              <w:ind w:right="-84" w:firstLine="0"/>
              <w:rPr>
                <w:rFonts w:ascii="Times New Roman" w:hAnsi="Times New Roman"/>
                <w:sz w:val="24"/>
                <w:szCs w:val="24"/>
              </w:rPr>
            </w:pPr>
            <w:r w:rsidRPr="000113A4">
              <w:rPr>
                <w:rFonts w:ascii="Times New Roman" w:hAnsi="Times New Roman"/>
                <w:sz w:val="24"/>
                <w:szCs w:val="24"/>
              </w:rPr>
              <w:t xml:space="preserve">3) організація вивчення англійської мови </w:t>
            </w:r>
            <w:r w:rsidRPr="000113A4">
              <w:rPr>
                <w:rFonts w:ascii="Times New Roman" w:hAnsi="Times New Roman"/>
                <w:sz w:val="24"/>
                <w:szCs w:val="24"/>
              </w:rPr>
              <w:br/>
              <w:t>науково-</w:t>
            </w:r>
            <w:r w:rsidRPr="000113A4">
              <w:rPr>
                <w:rFonts w:ascii="Times New Roman" w:hAnsi="Times New Roman"/>
                <w:spacing w:val="-4"/>
                <w:sz w:val="24"/>
                <w:szCs w:val="24"/>
              </w:rPr>
              <w:t xml:space="preserve">педагогічними </w:t>
            </w:r>
            <w:r w:rsidRPr="000113A4">
              <w:rPr>
                <w:rFonts w:ascii="Times New Roman" w:hAnsi="Times New Roman"/>
                <w:spacing w:val="-4"/>
                <w:sz w:val="24"/>
                <w:szCs w:val="24"/>
              </w:rPr>
              <w:lastRenderedPageBreak/>
              <w:t>(педагогічними)</w:t>
            </w:r>
            <w:r w:rsidRPr="000113A4">
              <w:rPr>
                <w:rFonts w:ascii="Times New Roman" w:hAnsi="Times New Roman"/>
                <w:sz w:val="24"/>
                <w:szCs w:val="24"/>
              </w:rPr>
              <w:t xml:space="preserve"> працівниками та інструкторами відповідно до стандарту STANAG 6001</w:t>
            </w:r>
          </w:p>
        </w:tc>
        <w:tc>
          <w:tcPr>
            <w:tcW w:w="3544" w:type="dxa"/>
            <w:vAlign w:val="center"/>
            <w:hideMark/>
          </w:tcPr>
          <w:p w:rsidR="003E7916" w:rsidRPr="000113A4" w:rsidRDefault="003E7916">
            <w:pPr>
              <w:rPr>
                <w:rFonts w:ascii="Times New Roman" w:hAnsi="Times New Roman"/>
                <w:sz w:val="24"/>
                <w:szCs w:val="24"/>
                <w:lang w:eastAsia="uk-UA"/>
              </w:rPr>
            </w:pP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розпочато функціонування курсів для науково-педагогічних </w:t>
            </w:r>
            <w:r w:rsidRPr="000113A4">
              <w:rPr>
                <w:rFonts w:ascii="Times New Roman" w:hAnsi="Times New Roman"/>
                <w:sz w:val="24"/>
                <w:szCs w:val="24"/>
              </w:rPr>
              <w:lastRenderedPageBreak/>
              <w:t>(педагогічних) працівників з вивчення англійської мови</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rPr>
            </w:pPr>
            <w:r w:rsidRPr="000113A4">
              <w:rPr>
                <w:rFonts w:ascii="Times New Roman" w:hAnsi="Times New Roman"/>
                <w:sz w:val="24"/>
                <w:szCs w:val="24"/>
              </w:rPr>
              <w:lastRenderedPageBreak/>
              <w:t>2027 рік</w:t>
            </w:r>
          </w:p>
        </w:tc>
      </w:tr>
      <w:tr w:rsidR="003E7916" w:rsidRPr="000113A4" w:rsidTr="003E7916">
        <w:tc>
          <w:tcPr>
            <w:tcW w:w="3119" w:type="dxa"/>
            <w:gridSpan w:val="2"/>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lastRenderedPageBreak/>
              <w:t>8. Забезпечення достатнього рівня знань іноземних мов військовослужбовцями сил оборони</w:t>
            </w: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 xml:space="preserve">удосконалення програм вивчення англійської мови військовослужбовцями сил оборони відповідно до стандарту STANAG 6001 </w:t>
            </w:r>
          </w:p>
        </w:tc>
        <w:tc>
          <w:tcPr>
            <w:tcW w:w="3544"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Міноборони, МВС, Адміністрація Держприкордонслужби Генеральний штаб Збройних Сил (за згодою), Адміністрація Держспецтрансслужби (за згодою), Головне управління Національної гвардії (за згодою), СБУ (за згодою)</w:t>
            </w:r>
          </w:p>
        </w:tc>
        <w:tc>
          <w:tcPr>
            <w:tcW w:w="3685" w:type="dxa"/>
            <w:hideMark/>
          </w:tcPr>
          <w:p w:rsidR="003E7916" w:rsidRPr="000113A4" w:rsidRDefault="003E7916">
            <w:pPr>
              <w:pStyle w:val="a4"/>
              <w:spacing w:line="228" w:lineRule="auto"/>
              <w:ind w:firstLine="0"/>
              <w:rPr>
                <w:rFonts w:ascii="Times New Roman" w:hAnsi="Times New Roman"/>
                <w:sz w:val="24"/>
                <w:szCs w:val="24"/>
              </w:rPr>
            </w:pPr>
            <w:r w:rsidRPr="000113A4">
              <w:rPr>
                <w:rFonts w:ascii="Times New Roman" w:hAnsi="Times New Roman"/>
                <w:sz w:val="24"/>
                <w:szCs w:val="24"/>
              </w:rPr>
              <w:t>розроблено та затверджено програми курсів вивчення англійської мови</w:t>
            </w:r>
          </w:p>
        </w:tc>
        <w:tc>
          <w:tcPr>
            <w:tcW w:w="1701" w:type="dxa"/>
            <w:hideMark/>
          </w:tcPr>
          <w:p w:rsidR="003E7916" w:rsidRPr="000113A4" w:rsidRDefault="003E7916">
            <w:pPr>
              <w:pStyle w:val="a4"/>
              <w:spacing w:line="228" w:lineRule="auto"/>
              <w:ind w:firstLine="0"/>
              <w:jc w:val="center"/>
              <w:rPr>
                <w:rFonts w:ascii="Times New Roman" w:hAnsi="Times New Roman"/>
                <w:sz w:val="24"/>
                <w:szCs w:val="24"/>
                <w:lang w:val="en-US"/>
              </w:rPr>
            </w:pPr>
            <w:r w:rsidRPr="000113A4">
              <w:rPr>
                <w:rFonts w:ascii="Times New Roman" w:hAnsi="Times New Roman"/>
                <w:sz w:val="24"/>
                <w:szCs w:val="24"/>
                <w:lang w:val="en-US"/>
              </w:rPr>
              <w:t>—“—</w:t>
            </w:r>
          </w:p>
        </w:tc>
      </w:tr>
      <w:tr w:rsidR="003E7916" w:rsidRPr="000113A4" w:rsidTr="003E7916">
        <w:tc>
          <w:tcPr>
            <w:tcW w:w="3119" w:type="dxa"/>
            <w:gridSpan w:val="2"/>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9. Забезпечення належної якості військової освіти</w:t>
            </w:r>
          </w:p>
        </w:tc>
        <w:tc>
          <w:tcPr>
            <w:tcW w:w="3544"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 xml:space="preserve">1) визначення </w:t>
            </w:r>
            <w:r w:rsidRPr="000113A4">
              <w:rPr>
                <w:rFonts w:ascii="Times New Roman" w:hAnsi="Times New Roman"/>
                <w:sz w:val="24"/>
                <w:szCs w:val="24"/>
              </w:rPr>
              <w:br/>
              <w:t>повноважень та розподіл відповідальності стейкхолдерів за провадження освітньої діяльності</w:t>
            </w:r>
          </w:p>
        </w:tc>
        <w:tc>
          <w:tcPr>
            <w:tcW w:w="3544" w:type="dxa"/>
            <w:vMerge w:val="restart"/>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Міноборони, МВС, Адміністрація Держприкордонслужби, Генеральний штаб Збройних Сил (за згодою), Адміністрація Держспецтрансслужби (за згодою), Головне управління Національної гвардії (за згодою), СБУ (за згодою)</w:t>
            </w:r>
          </w:p>
        </w:tc>
        <w:tc>
          <w:tcPr>
            <w:tcW w:w="3685"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повноваження та розподіл відповідальності стейкхолдерів затверджено</w:t>
            </w:r>
          </w:p>
        </w:tc>
        <w:tc>
          <w:tcPr>
            <w:tcW w:w="1701"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2024 рік</w:t>
            </w:r>
          </w:p>
        </w:tc>
      </w:tr>
      <w:tr w:rsidR="003E7916" w:rsidRPr="000113A4" w:rsidTr="003E7916">
        <w:tc>
          <w:tcPr>
            <w:tcW w:w="753" w:type="dxa"/>
            <w:vAlign w:val="center"/>
            <w:hideMark/>
          </w:tcPr>
          <w:p w:rsidR="003E7916" w:rsidRPr="000113A4" w:rsidRDefault="003E7916">
            <w:pPr>
              <w:rPr>
                <w:rFonts w:ascii="Times New Roman" w:hAnsi="Times New Roman"/>
                <w:sz w:val="24"/>
                <w:szCs w:val="24"/>
                <w:lang w:eastAsia="uk-UA"/>
              </w:rPr>
            </w:pPr>
          </w:p>
        </w:tc>
        <w:tc>
          <w:tcPr>
            <w:tcW w:w="2366" w:type="dxa"/>
            <w:vAlign w:val="center"/>
            <w:hideMark/>
          </w:tcPr>
          <w:p w:rsidR="003E7916" w:rsidRPr="000113A4" w:rsidRDefault="003E7916">
            <w:pPr>
              <w:rPr>
                <w:rFonts w:ascii="Times New Roman" w:hAnsi="Times New Roman"/>
                <w:sz w:val="24"/>
                <w:szCs w:val="24"/>
                <w:lang w:eastAsia="uk-UA"/>
              </w:rPr>
            </w:pPr>
          </w:p>
        </w:tc>
        <w:tc>
          <w:tcPr>
            <w:tcW w:w="3544"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2) реалізація визначених на законодавчому рівні вимог щодо забезпечення і гарантування якості освіти</w:t>
            </w:r>
          </w:p>
        </w:tc>
        <w:tc>
          <w:tcPr>
            <w:tcW w:w="3544" w:type="dxa"/>
            <w:vMerge/>
            <w:vAlign w:val="center"/>
            <w:hideMark/>
          </w:tcPr>
          <w:p w:rsidR="003E7916" w:rsidRPr="000113A4" w:rsidRDefault="003E7916">
            <w:pPr>
              <w:rPr>
                <w:rFonts w:ascii="Times New Roman" w:hAnsi="Times New Roman"/>
                <w:sz w:val="24"/>
                <w:szCs w:val="24"/>
              </w:rPr>
            </w:pPr>
          </w:p>
        </w:tc>
        <w:tc>
          <w:tcPr>
            <w:tcW w:w="3685"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у вищих військових навчальних закладів та військових інститутах закладів вищої освіти утворено систему забезпечення якості військової освіти</w:t>
            </w:r>
          </w:p>
        </w:tc>
        <w:tc>
          <w:tcPr>
            <w:tcW w:w="1701"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2025 рік</w:t>
            </w:r>
          </w:p>
        </w:tc>
      </w:tr>
      <w:tr w:rsidR="003E7916" w:rsidRPr="000113A4" w:rsidTr="003E7916">
        <w:tc>
          <w:tcPr>
            <w:tcW w:w="753" w:type="dxa"/>
            <w:hideMark/>
          </w:tcPr>
          <w:p w:rsidR="003E7916" w:rsidRPr="000113A4" w:rsidRDefault="003E7916">
            <w:pPr>
              <w:rPr>
                <w:rFonts w:ascii="Times New Roman" w:hAnsi="Times New Roman"/>
                <w:sz w:val="24"/>
                <w:szCs w:val="24"/>
                <w:lang w:eastAsia="uk-UA"/>
              </w:rPr>
            </w:pPr>
          </w:p>
        </w:tc>
        <w:tc>
          <w:tcPr>
            <w:tcW w:w="2366" w:type="dxa"/>
            <w:vMerge w:val="restart"/>
            <w:hideMark/>
          </w:tcPr>
          <w:p w:rsidR="003E7916" w:rsidRPr="000113A4" w:rsidRDefault="003E7916">
            <w:pPr>
              <w:rPr>
                <w:rFonts w:ascii="Times New Roman" w:hAnsi="Times New Roman"/>
                <w:sz w:val="24"/>
                <w:szCs w:val="24"/>
                <w:lang w:eastAsia="uk-UA"/>
              </w:rPr>
            </w:pPr>
          </w:p>
        </w:tc>
        <w:tc>
          <w:tcPr>
            <w:tcW w:w="3544" w:type="dxa"/>
            <w:vMerge w:val="restart"/>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3) впровадження інституційного аудиту професійної військової освіти у вищих військових навчальних закладах та військових інститутах закладів вищої освіти Мінборони</w:t>
            </w:r>
          </w:p>
        </w:tc>
        <w:tc>
          <w:tcPr>
            <w:tcW w:w="3544" w:type="dxa"/>
            <w:vMerge w:val="restart"/>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 xml:space="preserve">Міноборони, </w:t>
            </w:r>
            <w:r w:rsidRPr="000113A4">
              <w:rPr>
                <w:rFonts w:ascii="Times New Roman" w:hAnsi="Times New Roman"/>
                <w:sz w:val="24"/>
                <w:szCs w:val="24"/>
              </w:rPr>
              <w:br/>
              <w:t>Генеральний штаб Збройних Сил (за згодою), Адміністрація Держспецтрансслужби (за згодою)</w:t>
            </w:r>
          </w:p>
        </w:tc>
        <w:tc>
          <w:tcPr>
            <w:tcW w:w="3685" w:type="dxa"/>
            <w:hideMark/>
          </w:tcPr>
          <w:p w:rsidR="003E7916" w:rsidRPr="000113A4" w:rsidRDefault="003E7916">
            <w:pPr>
              <w:pStyle w:val="a4"/>
              <w:spacing w:before="60" w:line="228" w:lineRule="auto"/>
              <w:ind w:firstLine="0"/>
              <w:rPr>
                <w:rFonts w:ascii="Times New Roman" w:hAnsi="Times New Roman"/>
                <w:sz w:val="24"/>
                <w:szCs w:val="24"/>
                <w:lang w:val="ru-RU"/>
              </w:rPr>
            </w:pPr>
            <w:r w:rsidRPr="000113A4">
              <w:rPr>
                <w:rFonts w:ascii="Times New Roman" w:hAnsi="Times New Roman"/>
                <w:sz w:val="24"/>
                <w:szCs w:val="24"/>
              </w:rPr>
              <w:t>розроблено та затверджено Порядок проведення інституційного аудиту професійної військової освіти</w:t>
            </w:r>
          </w:p>
        </w:tc>
        <w:tc>
          <w:tcPr>
            <w:tcW w:w="1701"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2026 рік</w:t>
            </w:r>
          </w:p>
        </w:tc>
      </w:tr>
      <w:tr w:rsidR="003E7916" w:rsidRPr="000113A4" w:rsidTr="003E7916">
        <w:tc>
          <w:tcPr>
            <w:tcW w:w="753" w:type="dxa"/>
            <w:hideMark/>
          </w:tcPr>
          <w:p w:rsidR="003E7916" w:rsidRPr="000113A4" w:rsidRDefault="003E7916">
            <w:pPr>
              <w:rPr>
                <w:rFonts w:ascii="Times New Roman" w:hAnsi="Times New Roman"/>
                <w:sz w:val="24"/>
                <w:szCs w:val="24"/>
                <w:lang w:eastAsia="uk-UA"/>
              </w:rPr>
            </w:pPr>
          </w:p>
        </w:tc>
        <w:tc>
          <w:tcPr>
            <w:tcW w:w="2366" w:type="dxa"/>
            <w:vMerge/>
            <w:vAlign w:val="center"/>
            <w:hideMark/>
          </w:tcPr>
          <w:p w:rsidR="003E7916" w:rsidRPr="000113A4" w:rsidRDefault="003E7916">
            <w:pPr>
              <w:rPr>
                <w:rFonts w:ascii="Times New Roman" w:hAnsi="Times New Roman"/>
                <w:sz w:val="24"/>
                <w:szCs w:val="24"/>
                <w:lang w:eastAsia="uk-UA"/>
              </w:rPr>
            </w:pPr>
          </w:p>
        </w:tc>
        <w:tc>
          <w:tcPr>
            <w:tcW w:w="3544" w:type="dxa"/>
            <w:vMerge/>
            <w:vAlign w:val="center"/>
            <w:hideMark/>
          </w:tcPr>
          <w:p w:rsidR="003E7916" w:rsidRPr="000113A4" w:rsidRDefault="003E7916">
            <w:pPr>
              <w:rPr>
                <w:rFonts w:ascii="Times New Roman" w:hAnsi="Times New Roman"/>
                <w:sz w:val="24"/>
                <w:szCs w:val="24"/>
              </w:rPr>
            </w:pPr>
          </w:p>
        </w:tc>
        <w:tc>
          <w:tcPr>
            <w:tcW w:w="3544" w:type="dxa"/>
            <w:vMerge/>
            <w:vAlign w:val="center"/>
            <w:hideMark/>
          </w:tcPr>
          <w:p w:rsidR="003E7916" w:rsidRPr="000113A4" w:rsidRDefault="003E7916">
            <w:pPr>
              <w:rPr>
                <w:rFonts w:ascii="Times New Roman" w:hAnsi="Times New Roman"/>
                <w:sz w:val="24"/>
                <w:szCs w:val="24"/>
              </w:rPr>
            </w:pPr>
          </w:p>
        </w:tc>
        <w:tc>
          <w:tcPr>
            <w:tcW w:w="3685"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 xml:space="preserve">проведено інституційний аудит професійної військової освіти у вищих військових навчальних закладах та військових </w:t>
            </w:r>
            <w:r w:rsidRPr="000113A4">
              <w:rPr>
                <w:rFonts w:ascii="Times New Roman" w:hAnsi="Times New Roman"/>
                <w:sz w:val="24"/>
                <w:szCs w:val="24"/>
              </w:rPr>
              <w:lastRenderedPageBreak/>
              <w:t>інститутах закладів вищої освіти Міноборони</w:t>
            </w:r>
          </w:p>
        </w:tc>
        <w:tc>
          <w:tcPr>
            <w:tcW w:w="1701"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lastRenderedPageBreak/>
              <w:t>до 2031 року</w:t>
            </w:r>
          </w:p>
        </w:tc>
      </w:tr>
      <w:tr w:rsidR="003E7916" w:rsidRPr="000113A4" w:rsidTr="003E7916">
        <w:tc>
          <w:tcPr>
            <w:tcW w:w="3119" w:type="dxa"/>
            <w:gridSpan w:val="2"/>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lastRenderedPageBreak/>
              <w:t>10. Розширення партнерської співпраці між українськими військовими навчальними закладами та військовими навчальними закладами держав — членів НАТО</w:t>
            </w:r>
          </w:p>
        </w:tc>
        <w:tc>
          <w:tcPr>
            <w:tcW w:w="3544"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 xml:space="preserve">1) участь українських науково-педагогічних (педагогічних) працівників та інструкторів військових навчальних закладів у міжнародних навчаннях, освітніх програмах, стажуваннях, тренінгах, семінарах та інших подібних заходах з питань євроатлантичної інтеграції, стандартів НАТО у військових навчальних закладах, профільних наукових установах і навчальних центрах </w:t>
            </w:r>
            <w:r w:rsidRPr="000113A4">
              <w:rPr>
                <w:rFonts w:ascii="Times New Roman" w:hAnsi="Times New Roman"/>
                <w:sz w:val="24"/>
                <w:szCs w:val="24"/>
              </w:rPr>
              <w:br/>
              <w:t xml:space="preserve">держав — членів НАТО </w:t>
            </w:r>
          </w:p>
        </w:tc>
        <w:tc>
          <w:tcPr>
            <w:tcW w:w="3544"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Міноборони, МВС, Адміністрація Держприкордонслужби, Генеральний штаб Збройних Сил (за згодою), Адміністрація Держспецтрансслужби (за згодою), Головне управління Національної гвардії (за згодою), СБУ (за згодою)</w:t>
            </w:r>
          </w:p>
        </w:tc>
        <w:tc>
          <w:tcPr>
            <w:tcW w:w="3685"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забезпечено участь українських науково-педагогічних (педагогічних) працівників та інструкторів військових навчальних закладів у міжнародних навчаннях, освітніх програмах, стажуваннях, тренінгах, семінарах та інших подібних заходах</w:t>
            </w:r>
          </w:p>
        </w:tc>
        <w:tc>
          <w:tcPr>
            <w:tcW w:w="1701"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постійно протягом строку реалізації Концепції</w:t>
            </w:r>
          </w:p>
        </w:tc>
      </w:tr>
      <w:tr w:rsidR="003E7916" w:rsidRPr="000113A4" w:rsidTr="003E7916">
        <w:tc>
          <w:tcPr>
            <w:tcW w:w="3119" w:type="dxa"/>
            <w:gridSpan w:val="2"/>
            <w:vAlign w:val="center"/>
            <w:hideMark/>
          </w:tcPr>
          <w:p w:rsidR="003E7916" w:rsidRPr="000113A4" w:rsidRDefault="003E7916">
            <w:pPr>
              <w:rPr>
                <w:rFonts w:ascii="Times New Roman" w:hAnsi="Times New Roman"/>
                <w:sz w:val="24"/>
                <w:szCs w:val="24"/>
                <w:lang w:eastAsia="uk-UA"/>
              </w:rPr>
            </w:pPr>
          </w:p>
        </w:tc>
        <w:tc>
          <w:tcPr>
            <w:tcW w:w="3544"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2) організація курсів підвищення кваліфікації для військових фахівців іноземних держав щодо вивчення досвіду ведення бойових дій Збройних Сил та інших складових сил оборони під час збройної агресії Російської Федерації у військових навчальних закладах</w:t>
            </w:r>
          </w:p>
        </w:tc>
        <w:tc>
          <w:tcPr>
            <w:tcW w:w="3544" w:type="dxa"/>
            <w:vAlign w:val="center"/>
            <w:hideMark/>
          </w:tcPr>
          <w:p w:rsidR="003E7916" w:rsidRPr="000113A4" w:rsidRDefault="003E7916">
            <w:pPr>
              <w:rPr>
                <w:rFonts w:ascii="Times New Roman" w:hAnsi="Times New Roman"/>
                <w:sz w:val="24"/>
                <w:szCs w:val="24"/>
                <w:lang w:eastAsia="uk-UA"/>
              </w:rPr>
            </w:pPr>
          </w:p>
        </w:tc>
        <w:tc>
          <w:tcPr>
            <w:tcW w:w="3685"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організовано проведення курсів підвищення кваліфікації для військових фахівців іноземних держав</w:t>
            </w:r>
          </w:p>
        </w:tc>
        <w:tc>
          <w:tcPr>
            <w:tcW w:w="1701" w:type="dxa"/>
            <w:hideMark/>
          </w:tcPr>
          <w:p w:rsidR="003E7916" w:rsidRPr="000113A4" w:rsidRDefault="003E7916">
            <w:pPr>
              <w:pStyle w:val="a4"/>
              <w:spacing w:before="60" w:line="228" w:lineRule="auto"/>
              <w:ind w:firstLine="0"/>
              <w:rPr>
                <w:rFonts w:ascii="Times New Roman" w:hAnsi="Times New Roman"/>
                <w:sz w:val="24"/>
                <w:szCs w:val="24"/>
              </w:rPr>
            </w:pPr>
            <w:r w:rsidRPr="000113A4">
              <w:rPr>
                <w:rFonts w:ascii="Times New Roman" w:hAnsi="Times New Roman"/>
                <w:sz w:val="24"/>
                <w:szCs w:val="24"/>
              </w:rPr>
              <w:t>2028 рік</w:t>
            </w:r>
          </w:p>
        </w:tc>
      </w:tr>
    </w:tbl>
    <w:p w:rsidR="000B7F15" w:rsidRDefault="000B7F15" w:rsidP="000113A4">
      <w:pPr>
        <w:pStyle w:val="3"/>
        <w:spacing w:before="480"/>
        <w:ind w:left="0"/>
        <w:jc w:val="center"/>
      </w:pPr>
    </w:p>
    <w:p w:rsidR="006B5BA2" w:rsidRDefault="006B5BA2" w:rsidP="006B5BA2"/>
    <w:p w:rsidR="006B5BA2" w:rsidRDefault="006B5BA2" w:rsidP="006B5BA2"/>
    <w:p w:rsidR="006B5BA2" w:rsidRPr="006B5BA2" w:rsidRDefault="006B5BA2" w:rsidP="006B5BA2">
      <w:pPr>
        <w:rPr>
          <w:rFonts w:ascii="Times New Roman" w:hAnsi="Times New Roman"/>
          <w:sz w:val="24"/>
        </w:rPr>
      </w:pPr>
      <w:r w:rsidRPr="006B5BA2">
        <w:rPr>
          <w:rStyle w:val="st46"/>
          <w:rFonts w:ascii="Times New Roman" w:hAnsi="Times New Roman"/>
          <w:color w:val="auto"/>
          <w:sz w:val="24"/>
        </w:rPr>
        <w:t xml:space="preserve">{Додаток в редакції Постанови КМ </w:t>
      </w:r>
      <w:r w:rsidRPr="006B5BA2">
        <w:rPr>
          <w:rStyle w:val="st131"/>
          <w:rFonts w:ascii="Times New Roman" w:hAnsi="Times New Roman"/>
          <w:color w:val="auto"/>
          <w:sz w:val="24"/>
        </w:rPr>
        <w:t>№ 1490 від 30.12.2022</w:t>
      </w:r>
      <w:r w:rsidRPr="006B5BA2">
        <w:rPr>
          <w:rStyle w:val="st46"/>
          <w:rFonts w:ascii="Times New Roman" w:hAnsi="Times New Roman"/>
          <w:color w:val="auto"/>
          <w:sz w:val="24"/>
        </w:rPr>
        <w:t>}</w:t>
      </w:r>
    </w:p>
    <w:sectPr w:rsidR="006B5BA2" w:rsidRPr="006B5BA2" w:rsidSect="004B5B2C">
      <w:headerReference w:type="even" r:id="rId7"/>
      <w:headerReference w:type="default" r:id="rId8"/>
      <w:pgSz w:w="16838" w:h="11906" w:orient="landscape" w:code="9"/>
      <w:pgMar w:top="1134" w:right="1134" w:bottom="1134" w:left="1134" w:header="567" w:footer="567"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B3E" w:rsidRDefault="004E4B3E">
      <w:r>
        <w:separator/>
      </w:r>
    </w:p>
  </w:endnote>
  <w:endnote w:type="continuationSeparator" w:id="0">
    <w:p w:rsidR="004E4B3E" w:rsidRDefault="004E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itka Smal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B3E" w:rsidRDefault="004E4B3E">
      <w:r>
        <w:separator/>
      </w:r>
    </w:p>
  </w:footnote>
  <w:footnote w:type="continuationSeparator" w:id="0">
    <w:p w:rsidR="004E4B3E" w:rsidRDefault="004E4B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8A7613" w:rsidRDefault="00525BBB">
    <w:pPr>
      <w:framePr w:wrap="around" w:vAnchor="text" w:hAnchor="margin" w:xAlign="center" w:y="1"/>
      <w:rPr>
        <w:rFonts w:ascii="Times New Roman" w:hAnsi="Times New Roman"/>
        <w:sz w:val="28"/>
        <w:szCs w:val="28"/>
      </w:rPr>
    </w:pPr>
    <w:r w:rsidRPr="008A7613">
      <w:rPr>
        <w:rFonts w:ascii="Times New Roman" w:hAnsi="Times New Roman"/>
        <w:sz w:val="28"/>
        <w:szCs w:val="28"/>
      </w:rPr>
      <w:fldChar w:fldCharType="begin"/>
    </w:r>
    <w:r w:rsidRPr="008A7613">
      <w:rPr>
        <w:rFonts w:ascii="Times New Roman" w:hAnsi="Times New Roman"/>
        <w:sz w:val="28"/>
        <w:szCs w:val="28"/>
      </w:rPr>
      <w:instrText xml:space="preserve">PAGE  </w:instrText>
    </w:r>
    <w:r w:rsidRPr="008A7613">
      <w:rPr>
        <w:rFonts w:ascii="Times New Roman" w:hAnsi="Times New Roman"/>
        <w:sz w:val="28"/>
        <w:szCs w:val="28"/>
      </w:rPr>
      <w:fldChar w:fldCharType="separate"/>
    </w:r>
    <w:r w:rsidR="006B5BA2">
      <w:rPr>
        <w:rFonts w:ascii="Times New Roman" w:hAnsi="Times New Roman"/>
        <w:noProof/>
        <w:sz w:val="28"/>
        <w:szCs w:val="28"/>
      </w:rPr>
      <w:t>1</w:t>
    </w:r>
    <w:r w:rsidRPr="008A7613">
      <w:rPr>
        <w:rFonts w:ascii="Times New Roman" w:hAnsi="Times New Roman"/>
        <w:sz w:val="28"/>
        <w:szCs w:val="28"/>
      </w:rPr>
      <w:fldChar w:fldCharType="end"/>
    </w:r>
  </w:p>
  <w:p w:rsidR="00525BBB" w:rsidRDefault="00525BB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F5C0B"/>
    <w:multiLevelType w:val="hybridMultilevel"/>
    <w:tmpl w:val="3EBE5130"/>
    <w:lvl w:ilvl="0" w:tplc="CA944706">
      <w:start w:val="2"/>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7EC9"/>
    <w:rsid w:val="000113A4"/>
    <w:rsid w:val="00020C88"/>
    <w:rsid w:val="0005528B"/>
    <w:rsid w:val="00061A76"/>
    <w:rsid w:val="000726F6"/>
    <w:rsid w:val="0007512B"/>
    <w:rsid w:val="000A3661"/>
    <w:rsid w:val="000B7F15"/>
    <w:rsid w:val="000E5C7F"/>
    <w:rsid w:val="000E5FEA"/>
    <w:rsid w:val="000F40F8"/>
    <w:rsid w:val="00143C07"/>
    <w:rsid w:val="001A5FC5"/>
    <w:rsid w:val="001F5AE2"/>
    <w:rsid w:val="00210F96"/>
    <w:rsid w:val="00237278"/>
    <w:rsid w:val="00247738"/>
    <w:rsid w:val="002752B8"/>
    <w:rsid w:val="002A61E5"/>
    <w:rsid w:val="002C1844"/>
    <w:rsid w:val="002E41BF"/>
    <w:rsid w:val="003032C2"/>
    <w:rsid w:val="0030571D"/>
    <w:rsid w:val="0033607C"/>
    <w:rsid w:val="00352395"/>
    <w:rsid w:val="00385352"/>
    <w:rsid w:val="003B1726"/>
    <w:rsid w:val="003E7916"/>
    <w:rsid w:val="004646CB"/>
    <w:rsid w:val="004847DB"/>
    <w:rsid w:val="004B5B2C"/>
    <w:rsid w:val="004C29EB"/>
    <w:rsid w:val="004C6515"/>
    <w:rsid w:val="004D69A9"/>
    <w:rsid w:val="004E4B3E"/>
    <w:rsid w:val="004E772E"/>
    <w:rsid w:val="004F4168"/>
    <w:rsid w:val="00501878"/>
    <w:rsid w:val="00512501"/>
    <w:rsid w:val="00517972"/>
    <w:rsid w:val="00525BBB"/>
    <w:rsid w:val="00561743"/>
    <w:rsid w:val="005E25B6"/>
    <w:rsid w:val="0063408E"/>
    <w:rsid w:val="0064636C"/>
    <w:rsid w:val="0065458D"/>
    <w:rsid w:val="00655C93"/>
    <w:rsid w:val="00697339"/>
    <w:rsid w:val="006A63C1"/>
    <w:rsid w:val="006B5BA2"/>
    <w:rsid w:val="006E300A"/>
    <w:rsid w:val="007023AD"/>
    <w:rsid w:val="00762185"/>
    <w:rsid w:val="00775416"/>
    <w:rsid w:val="007863B3"/>
    <w:rsid w:val="007B0114"/>
    <w:rsid w:val="007B7DBF"/>
    <w:rsid w:val="007C59C1"/>
    <w:rsid w:val="007D7BAD"/>
    <w:rsid w:val="007F5452"/>
    <w:rsid w:val="008028D8"/>
    <w:rsid w:val="00813211"/>
    <w:rsid w:val="008411F5"/>
    <w:rsid w:val="00885707"/>
    <w:rsid w:val="008A7613"/>
    <w:rsid w:val="009175E2"/>
    <w:rsid w:val="00923E3A"/>
    <w:rsid w:val="00962C05"/>
    <w:rsid w:val="009717E8"/>
    <w:rsid w:val="00976BAC"/>
    <w:rsid w:val="00985926"/>
    <w:rsid w:val="009E5D05"/>
    <w:rsid w:val="00A139CF"/>
    <w:rsid w:val="00A22B29"/>
    <w:rsid w:val="00A73986"/>
    <w:rsid w:val="00AC13A2"/>
    <w:rsid w:val="00AE4DBD"/>
    <w:rsid w:val="00B2512E"/>
    <w:rsid w:val="00B31469"/>
    <w:rsid w:val="00B74E7D"/>
    <w:rsid w:val="00B92832"/>
    <w:rsid w:val="00BA6F76"/>
    <w:rsid w:val="00C00BCF"/>
    <w:rsid w:val="00C14813"/>
    <w:rsid w:val="00C30558"/>
    <w:rsid w:val="00C55E7F"/>
    <w:rsid w:val="00C639AC"/>
    <w:rsid w:val="00C67A5B"/>
    <w:rsid w:val="00CA6F82"/>
    <w:rsid w:val="00CE2D76"/>
    <w:rsid w:val="00D43AA9"/>
    <w:rsid w:val="00D62814"/>
    <w:rsid w:val="00D770C7"/>
    <w:rsid w:val="00DA5E99"/>
    <w:rsid w:val="00DC64C3"/>
    <w:rsid w:val="00DE672A"/>
    <w:rsid w:val="00DF7D04"/>
    <w:rsid w:val="00E14E67"/>
    <w:rsid w:val="00E7162A"/>
    <w:rsid w:val="00EC20E1"/>
    <w:rsid w:val="00EC283D"/>
    <w:rsid w:val="00F40419"/>
    <w:rsid w:val="00F92ACA"/>
    <w:rsid w:val="00FC1DD2"/>
    <w:rsid w:val="00FD1D06"/>
    <w:rsid w:val="00FF47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8457C"/>
  <w15:docId w15:val="{8ACC09CA-C9D8-4F4D-B209-EFF6A323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styleId="HTML">
    <w:name w:val="HTML Preformatted"/>
    <w:basedOn w:val="a"/>
    <w:link w:val="HTML0"/>
    <w:uiPriority w:val="99"/>
    <w:unhideWhenUsed/>
    <w:rsid w:val="008A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uk-UA"/>
    </w:rPr>
  </w:style>
  <w:style w:type="character" w:customStyle="1" w:styleId="HTML0">
    <w:name w:val="Стандартний HTML Знак"/>
    <w:link w:val="HTML"/>
    <w:uiPriority w:val="99"/>
    <w:rsid w:val="008A7613"/>
    <w:rPr>
      <w:rFonts w:ascii="Courier New" w:hAnsi="Courier New" w:cs="Courier New"/>
    </w:rPr>
  </w:style>
  <w:style w:type="paragraph" w:styleId="ae">
    <w:name w:val="Normal (Web)"/>
    <w:aliases w:val="Знак,Normal (Web) Char Знак Знак Знак,Normal (Web) Char Знак Знак,Normal (Web) Char Знак Знак Знак Знак Знак Знак Знак,Обычный (веб) Знак Знак Char Знак,Обычный (веб) Знак Знак Char Char Знак,Обычный (веб) Знак Знак Знак Знак,webb"/>
    <w:basedOn w:val="a"/>
    <w:uiPriority w:val="99"/>
    <w:unhideWhenUsed/>
    <w:rsid w:val="008A7613"/>
    <w:pPr>
      <w:spacing w:before="100" w:beforeAutospacing="1" w:after="100" w:afterAutospacing="1"/>
    </w:pPr>
    <w:rPr>
      <w:rFonts w:ascii="Times New Roman" w:hAnsi="Times New Roman"/>
      <w:sz w:val="24"/>
      <w:szCs w:val="24"/>
      <w:lang w:val="ru-RU"/>
    </w:rPr>
  </w:style>
  <w:style w:type="paragraph" w:customStyle="1" w:styleId="rvps2">
    <w:name w:val="rvps2"/>
    <w:basedOn w:val="a"/>
    <w:uiPriority w:val="99"/>
    <w:rsid w:val="008A7613"/>
    <w:pPr>
      <w:spacing w:before="100" w:beforeAutospacing="1" w:after="100" w:afterAutospacing="1"/>
    </w:pPr>
    <w:rPr>
      <w:rFonts w:ascii="Times New Roman" w:hAnsi="Times New Roman"/>
      <w:sz w:val="24"/>
      <w:szCs w:val="24"/>
      <w:lang w:eastAsia="uk-UA"/>
    </w:rPr>
  </w:style>
  <w:style w:type="character" w:styleId="af">
    <w:name w:val="Hyperlink"/>
    <w:uiPriority w:val="99"/>
    <w:unhideWhenUsed/>
    <w:rsid w:val="008A7613"/>
    <w:rPr>
      <w:color w:val="0000FF"/>
      <w:u w:val="single"/>
    </w:rPr>
  </w:style>
  <w:style w:type="character" w:customStyle="1" w:styleId="30">
    <w:name w:val="Заголовок 3 Знак"/>
    <w:link w:val="3"/>
    <w:uiPriority w:val="9"/>
    <w:rsid w:val="002C1844"/>
    <w:rPr>
      <w:rFonts w:ascii="Antiqua" w:hAnsi="Antiqua"/>
      <w:b/>
      <w:i/>
      <w:sz w:val="26"/>
      <w:lang w:eastAsia="ru-RU"/>
    </w:rPr>
  </w:style>
  <w:style w:type="character" w:customStyle="1" w:styleId="a7">
    <w:name w:val="Верхній колонтитул Знак"/>
    <w:link w:val="a6"/>
    <w:uiPriority w:val="99"/>
    <w:rsid w:val="00F40419"/>
    <w:rPr>
      <w:rFonts w:ascii="Antiqua" w:hAnsi="Antiqua"/>
      <w:sz w:val="26"/>
      <w:lang w:eastAsia="ru-RU"/>
    </w:rPr>
  </w:style>
  <w:style w:type="character" w:customStyle="1" w:styleId="st131">
    <w:name w:val="st131"/>
    <w:uiPriority w:val="99"/>
    <w:rsid w:val="006B5BA2"/>
    <w:rPr>
      <w:i/>
      <w:iCs/>
      <w:color w:val="0000FF"/>
    </w:rPr>
  </w:style>
  <w:style w:type="character" w:customStyle="1" w:styleId="st46">
    <w:name w:val="st46"/>
    <w:uiPriority w:val="99"/>
    <w:rsid w:val="006B5BA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859584985">
      <w:bodyDiv w:val="1"/>
      <w:marLeft w:val="0"/>
      <w:marRight w:val="0"/>
      <w:marTop w:val="0"/>
      <w:marBottom w:val="0"/>
      <w:divBdr>
        <w:top w:val="none" w:sz="0" w:space="0" w:color="auto"/>
        <w:left w:val="none" w:sz="0" w:space="0" w:color="auto"/>
        <w:bottom w:val="none" w:sz="0" w:space="0" w:color="auto"/>
        <w:right w:val="none" w:sz="0" w:space="0" w:color="auto"/>
      </w:divBdr>
    </w:div>
    <w:div w:id="1011447279">
      <w:bodyDiv w:val="1"/>
      <w:marLeft w:val="0"/>
      <w:marRight w:val="0"/>
      <w:marTop w:val="0"/>
      <w:marBottom w:val="0"/>
      <w:divBdr>
        <w:top w:val="none" w:sz="0" w:space="0" w:color="auto"/>
        <w:left w:val="none" w:sz="0" w:space="0" w:color="auto"/>
        <w:bottom w:val="none" w:sz="0" w:space="0" w:color="auto"/>
        <w:right w:val="none" w:sz="0" w:space="0" w:color="auto"/>
      </w:divBdr>
    </w:div>
    <w:div w:id="1171333850">
      <w:bodyDiv w:val="1"/>
      <w:marLeft w:val="0"/>
      <w:marRight w:val="0"/>
      <w:marTop w:val="0"/>
      <w:marBottom w:val="0"/>
      <w:divBdr>
        <w:top w:val="none" w:sz="0" w:space="0" w:color="auto"/>
        <w:left w:val="none" w:sz="0" w:space="0" w:color="auto"/>
        <w:bottom w:val="none" w:sz="0" w:space="0" w:color="auto"/>
        <w:right w:val="none" w:sz="0" w:space="0" w:color="auto"/>
      </w:divBdr>
    </w:div>
    <w:div w:id="1228807891">
      <w:bodyDiv w:val="1"/>
      <w:marLeft w:val="0"/>
      <w:marRight w:val="0"/>
      <w:marTop w:val="0"/>
      <w:marBottom w:val="0"/>
      <w:divBdr>
        <w:top w:val="none" w:sz="0" w:space="0" w:color="auto"/>
        <w:left w:val="none" w:sz="0" w:space="0" w:color="auto"/>
        <w:bottom w:val="none" w:sz="0" w:space="0" w:color="auto"/>
        <w:right w:val="none" w:sz="0" w:space="0" w:color="auto"/>
      </w:divBdr>
    </w:div>
    <w:div w:id="14781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6853</Words>
  <Characters>3907</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Веретюк Ольга Іванівна</dc:creator>
  <cp:lastModifiedBy>Веретюк Ольга Іванівна</cp:lastModifiedBy>
  <cp:revision>3</cp:revision>
  <cp:lastPrinted>2002-04-19T13:13:00Z</cp:lastPrinted>
  <dcterms:created xsi:type="dcterms:W3CDTF">2023-01-12T11:46:00Z</dcterms:created>
  <dcterms:modified xsi:type="dcterms:W3CDTF">2023-01-12T11:48:00Z</dcterms:modified>
</cp:coreProperties>
</file>