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5155"/>
      </w:tblGrid>
      <w:tr w:rsidR="00B47D38" w:rsidRPr="00B47D3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38" w:rsidRPr="00B47D38" w:rsidRDefault="00B47D38">
            <w:pPr>
              <w:pStyle w:val="st14"/>
              <w:rPr>
                <w:rStyle w:val="st42"/>
                <w:color w:val="000000" w:themeColor="text1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38" w:rsidRPr="00B47D38" w:rsidRDefault="00B47D38">
            <w:pPr>
              <w:pStyle w:val="st12"/>
              <w:rPr>
                <w:rStyle w:val="st4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 xml:space="preserve">Додаток 2 </w:t>
            </w:r>
            <w:r w:rsidRPr="00B47D38">
              <w:rPr>
                <w:rStyle w:val="st42"/>
                <w:color w:val="000000" w:themeColor="text1"/>
              </w:rPr>
              <w:br/>
              <w:t>до договору</w:t>
            </w:r>
          </w:p>
        </w:tc>
      </w:tr>
    </w:tbl>
    <w:p w:rsidR="005F0E93" w:rsidRPr="00B47D38" w:rsidRDefault="005F0E93">
      <w:pPr>
        <w:rPr>
          <w:color w:val="000000" w:themeColor="text1"/>
        </w:rPr>
      </w:pPr>
    </w:p>
    <w:p w:rsidR="00B47D38" w:rsidRPr="00B47D38" w:rsidRDefault="00B47D38" w:rsidP="00B47D38">
      <w:pPr>
        <w:pStyle w:val="st7"/>
        <w:rPr>
          <w:rStyle w:val="st161"/>
          <w:color w:val="000000" w:themeColor="text1"/>
        </w:rPr>
      </w:pPr>
      <w:r w:rsidRPr="00B47D38">
        <w:rPr>
          <w:rStyle w:val="st161"/>
          <w:color w:val="000000" w:themeColor="text1"/>
        </w:rPr>
        <w:t xml:space="preserve">ТЕХНІЧНІ ХАРАКТЕРИСТИКИ </w:t>
      </w:r>
      <w:r w:rsidRPr="00B47D38">
        <w:rPr>
          <w:rStyle w:val="st161"/>
          <w:color w:val="000000" w:themeColor="text1"/>
        </w:rPr>
        <w:br/>
        <w:t>та вимоги до послуг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 xml:space="preserve">1. Телекомунікаційні послуги з надання доступу до Інтернету (далі - послуги) надаються відповідно до вимог законодавства, </w:t>
      </w:r>
      <w:hyperlink r:id="rId4" w:history="1">
        <w:r w:rsidRPr="00B47D38">
          <w:rPr>
            <w:rStyle w:val="st910"/>
            <w:color w:val="000000" w:themeColor="text1"/>
          </w:rPr>
          <w:t>Правил надання та отримання телекомунікаційних послуг</w:t>
        </w:r>
      </w:hyperlink>
      <w:r w:rsidRPr="00B47D38">
        <w:rPr>
          <w:rStyle w:val="st42"/>
          <w:color w:val="000000" w:themeColor="text1"/>
        </w:rPr>
        <w:t>, затверджених постановою Кабінету Міністрів України від 11 квітня 2012 р. № 295 (Офіційний вісник України, 2012 р., № 29, ст. 1074), та інших нормативно-правових актів та забезпечують цілодобове надання у користування та обслуговування каналів передачі даних на всіх вузлах телекомунікаційної мережі.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2. 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виконавцем у рамках договору надання послуг з підключення закладів соціальної інфраструктури до широкосмугового доступу до Інтернету, закупівля яких здійснюється за рахунок субвенції.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3. 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4. Виконавець забезпечує можливість з’єднання кінцевого обладнання замовника з Інтернетом з використанням адрес IPv4 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5. Виконавець забезпечує надання статичної зовнішньої ІР-адреси кожному закладу соціальної інфраструктури.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6. Виконавець забезпечує підготовку каналу та підключення без сплати замовником додаткових коштів і потреби купувати додаткове обладнання.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 xml:space="preserve">7. На ділянках телекомунікаційної мережі виконавця, що використовується для надання послуг, не допускається застосування </w:t>
      </w:r>
      <w:proofErr w:type="spellStart"/>
      <w:r w:rsidRPr="00B47D38">
        <w:rPr>
          <w:rStyle w:val="st42"/>
          <w:color w:val="000000" w:themeColor="text1"/>
        </w:rPr>
        <w:t>радіо</w:t>
      </w:r>
      <w:bookmarkStart w:id="0" w:name="_GoBack"/>
      <w:bookmarkEnd w:id="0"/>
      <w:r w:rsidRPr="00B47D38">
        <w:rPr>
          <w:rStyle w:val="st42"/>
          <w:color w:val="000000" w:themeColor="text1"/>
        </w:rPr>
        <w:t>технологій</w:t>
      </w:r>
      <w:proofErr w:type="spellEnd"/>
      <w:r w:rsidRPr="00B47D38">
        <w:rPr>
          <w:rStyle w:val="st42"/>
          <w:color w:val="000000" w:themeColor="text1"/>
        </w:rPr>
        <w:t>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8. Умови надання послуги передбачають безлімітний доступ до Інтернету, що не обмежує обсяг передавання та приймання даних.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9. Запланована недоступність послуг - до 8 годин на місяць; аварійна недоступність послуг - 48 годин на місяць.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 xml:space="preserve">Виконавець забезпечує можливість використання послуг з доступу до Інтернету для персоналу та відвідувачів закладів соціальної інфраструктури за допомогою мережі </w:t>
      </w:r>
      <w:proofErr w:type="spellStart"/>
      <w:r w:rsidRPr="00B47D38">
        <w:rPr>
          <w:rStyle w:val="st42"/>
          <w:color w:val="000000" w:themeColor="text1"/>
        </w:rPr>
        <w:t>Wi-Fi</w:t>
      </w:r>
      <w:proofErr w:type="spellEnd"/>
      <w:r w:rsidRPr="00B47D38">
        <w:rPr>
          <w:rStyle w:val="st42"/>
          <w:color w:val="000000" w:themeColor="text1"/>
        </w:rPr>
        <w:t xml:space="preserve"> у частотах 2,4 та 5 </w:t>
      </w:r>
      <w:proofErr w:type="spellStart"/>
      <w:r w:rsidRPr="00B47D38">
        <w:rPr>
          <w:rStyle w:val="st42"/>
          <w:color w:val="000000" w:themeColor="text1"/>
        </w:rPr>
        <w:t>ГГц</w:t>
      </w:r>
      <w:proofErr w:type="spellEnd"/>
      <w:r w:rsidRPr="00B47D38">
        <w:rPr>
          <w:rStyle w:val="st42"/>
          <w:color w:val="000000" w:themeColor="text1"/>
        </w:rPr>
        <w:t>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 xml:space="preserve">Виконавець використовує </w:t>
      </w:r>
      <w:proofErr w:type="spellStart"/>
      <w:r w:rsidRPr="00B47D38">
        <w:rPr>
          <w:rStyle w:val="st42"/>
          <w:color w:val="000000" w:themeColor="text1"/>
        </w:rPr>
        <w:t>безпроводовий</w:t>
      </w:r>
      <w:proofErr w:type="spellEnd"/>
      <w:r w:rsidRPr="00B47D38">
        <w:rPr>
          <w:rStyle w:val="st42"/>
          <w:color w:val="000000" w:themeColor="text1"/>
        </w:rPr>
        <w:t xml:space="preserve"> маршрутизатор з розрахунку не більше одного маршрутизатора на один заклад соціальної інфраструктури.</w:t>
      </w:r>
    </w:p>
    <w:p w:rsidR="00B47D38" w:rsidRPr="00B47D38" w:rsidRDefault="00B47D38" w:rsidP="00B47D38">
      <w:pPr>
        <w:pStyle w:val="st2"/>
        <w:rPr>
          <w:rStyle w:val="st42"/>
          <w:color w:val="000000" w:themeColor="text1"/>
        </w:rPr>
      </w:pPr>
      <w:r w:rsidRPr="00B47D38">
        <w:rPr>
          <w:rStyle w:val="st42"/>
          <w:color w:val="000000" w:themeColor="text1"/>
        </w:rPr>
        <w:t>10. Виконавець приймає звернення (повідомлення) замовника цілодобово, без перерв та вихідних телефоном та на електронну адресу виконавця.</w:t>
      </w:r>
    </w:p>
    <w:p w:rsidR="00B47D38" w:rsidRPr="00B47D38" w:rsidRDefault="00B47D38" w:rsidP="00B47D38">
      <w:pPr>
        <w:ind w:firstLine="426"/>
        <w:jc w:val="both"/>
        <w:rPr>
          <w:rStyle w:val="st42"/>
          <w:rFonts w:ascii="Times New Roman" w:hAnsi="Times New Roman" w:cs="Times New Roman"/>
          <w:color w:val="000000" w:themeColor="text1"/>
          <w:sz w:val="24"/>
          <w:szCs w:val="24"/>
        </w:rPr>
      </w:pPr>
      <w:r w:rsidRPr="00B47D38">
        <w:rPr>
          <w:rStyle w:val="st42"/>
          <w:rFonts w:ascii="Times New Roman" w:hAnsi="Times New Roman" w:cs="Times New Roman"/>
          <w:color w:val="000000" w:themeColor="text1"/>
          <w:sz w:val="24"/>
          <w:szCs w:val="24"/>
        </w:rPr>
        <w:t>11. Звернення (повідомлення) замовника повинно обов’язково містити найменування замовника, ім’я, прізвище, контактний телефон особи, що звертається, найменування та місцезнаходження закладу соціальної інфраструктури, в якому виникла проблема з наданням послуги; причину звернення.</w:t>
      </w:r>
    </w:p>
    <w:p w:rsidR="00B47D38" w:rsidRPr="00B47D38" w:rsidRDefault="00B47D38" w:rsidP="00B47D38">
      <w:pPr>
        <w:ind w:firstLine="426"/>
        <w:jc w:val="both"/>
        <w:rPr>
          <w:rStyle w:val="st4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38" w:rsidRPr="00B47D38" w:rsidRDefault="00B47D38" w:rsidP="00B47D38">
      <w:pPr>
        <w:ind w:firstLine="426"/>
        <w:jc w:val="both"/>
        <w:rPr>
          <w:rStyle w:val="st42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737"/>
        <w:gridCol w:w="1953"/>
        <w:gridCol w:w="2884"/>
      </w:tblGrid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4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lastRenderedPageBreak/>
              <w:t>Замовник: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4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Виконавець: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(найменування)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 xml:space="preserve"> (найменування)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(місцезнаходження)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(місцезнаходження)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 xml:space="preserve">__________________________________ 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(ідентифікаційний номер (код згідно з ЄДРПОУ)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 xml:space="preserve">__________________________________ 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(ідентифікаційний номер (код згідно з ЄДРПОУ)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 xml:space="preserve">__________________________________ 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(номер телефону)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 xml:space="preserve"> (номер телефону)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(адреса електронної пошти)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(адреса електронної пошти)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(реквізити рахунка)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(реквізити рахунка)</w:t>
            </w:r>
          </w:p>
        </w:tc>
      </w:tr>
      <w:tr w:rsidR="00B47D38" w:rsidRPr="00B47D38" w:rsidTr="00B47D38">
        <w:tc>
          <w:tcPr>
            <w:tcW w:w="9750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(найменування посади)</w:t>
            </w:r>
          </w:p>
        </w:tc>
        <w:tc>
          <w:tcPr>
            <w:tcW w:w="9825" w:type="dxa"/>
            <w:gridSpan w:val="2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(найменування посади)</w:t>
            </w:r>
          </w:p>
        </w:tc>
      </w:tr>
      <w:tr w:rsidR="00B47D38" w:rsidRPr="00B47D38" w:rsidTr="00B47D38">
        <w:tc>
          <w:tcPr>
            <w:tcW w:w="4155" w:type="dxa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(підпис)</w:t>
            </w:r>
          </w:p>
        </w:tc>
        <w:tc>
          <w:tcPr>
            <w:tcW w:w="5595" w:type="dxa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(прізвище, ім’я, по батькові)</w:t>
            </w:r>
          </w:p>
        </w:tc>
        <w:tc>
          <w:tcPr>
            <w:tcW w:w="3915" w:type="dxa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(підпис)</w:t>
            </w:r>
          </w:p>
        </w:tc>
        <w:tc>
          <w:tcPr>
            <w:tcW w:w="5910" w:type="dxa"/>
          </w:tcPr>
          <w:p w:rsidR="00B47D38" w:rsidRPr="00B47D38" w:rsidRDefault="00B47D38">
            <w:pPr>
              <w:pStyle w:val="st12"/>
              <w:rPr>
                <w:rStyle w:val="st82"/>
                <w:color w:val="000000" w:themeColor="text1"/>
              </w:rPr>
            </w:pPr>
            <w:r w:rsidRPr="00B47D38">
              <w:rPr>
                <w:rStyle w:val="st42"/>
                <w:color w:val="000000" w:themeColor="text1"/>
              </w:rPr>
              <w:t>____________________</w:t>
            </w:r>
            <w:r w:rsidRPr="00B47D38">
              <w:rPr>
                <w:rStyle w:val="st42"/>
                <w:color w:val="000000" w:themeColor="text1"/>
              </w:rPr>
              <w:br/>
            </w:r>
            <w:r w:rsidRPr="00B47D38">
              <w:rPr>
                <w:rStyle w:val="st82"/>
                <w:color w:val="000000" w:themeColor="text1"/>
              </w:rPr>
              <w:t>(прізвище, ім’я, по батькові)</w:t>
            </w:r>
          </w:p>
        </w:tc>
      </w:tr>
    </w:tbl>
    <w:p w:rsidR="00B47D38" w:rsidRPr="00B47D38" w:rsidRDefault="00B47D38" w:rsidP="00B47D38">
      <w:pPr>
        <w:rPr>
          <w:color w:val="000000" w:themeColor="text1"/>
        </w:rPr>
      </w:pPr>
    </w:p>
    <w:sectPr w:rsidR="00B47D38" w:rsidRPr="00B47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38"/>
    <w:rsid w:val="001A49AA"/>
    <w:rsid w:val="005F0E93"/>
    <w:rsid w:val="00B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1285-1DD2-4CCF-BAA5-07B2D2B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2">
    <w:name w:val="st12"/>
    <w:uiPriority w:val="99"/>
    <w:rsid w:val="00B47D38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rsid w:val="00B47D38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B47D38"/>
    <w:rPr>
      <w:color w:val="000000"/>
    </w:rPr>
  </w:style>
  <w:style w:type="paragraph" w:customStyle="1" w:styleId="st2">
    <w:name w:val="st2"/>
    <w:uiPriority w:val="99"/>
    <w:rsid w:val="00B47D38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rsid w:val="00B47D38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910">
    <w:name w:val="st910"/>
    <w:uiPriority w:val="99"/>
    <w:rsid w:val="00B47D38"/>
    <w:rPr>
      <w:color w:val="0000FF"/>
    </w:rPr>
  </w:style>
  <w:style w:type="character" w:customStyle="1" w:styleId="st161">
    <w:name w:val="st161"/>
    <w:uiPriority w:val="99"/>
    <w:rsid w:val="00B47D38"/>
    <w:rPr>
      <w:b/>
      <w:bCs/>
      <w:color w:val="000000"/>
      <w:sz w:val="28"/>
      <w:szCs w:val="28"/>
    </w:rPr>
  </w:style>
  <w:style w:type="character" w:customStyle="1" w:styleId="st82">
    <w:name w:val="st82"/>
    <w:uiPriority w:val="99"/>
    <w:rsid w:val="00B47D38"/>
    <w:rPr>
      <w:color w:val="000000"/>
      <w:sz w:val="20"/>
      <w:szCs w:val="20"/>
    </w:rPr>
  </w:style>
  <w:style w:type="table" w:styleId="a3">
    <w:name w:val="Table Grid"/>
    <w:basedOn w:val="a1"/>
    <w:uiPriority w:val="39"/>
    <w:rsid w:val="00B4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2327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2</cp:revision>
  <dcterms:created xsi:type="dcterms:W3CDTF">2021-05-19T09:59:00Z</dcterms:created>
  <dcterms:modified xsi:type="dcterms:W3CDTF">2021-05-19T10:01:00Z</dcterms:modified>
</cp:coreProperties>
</file>