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ED" w:rsidRDefault="001A6146">
      <w:pPr>
        <w:rPr>
          <w:rStyle w:val="st102"/>
          <w:rFonts w:ascii="Times New Roman" w:hAnsi="Times New Roman"/>
          <w:sz w:val="24"/>
          <w:szCs w:val="24"/>
        </w:rPr>
      </w:pPr>
      <w:r w:rsidRPr="001A6146">
        <w:rPr>
          <w:rStyle w:val="st102"/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Pr="001A6146">
        <w:rPr>
          <w:rStyle w:val="st102"/>
          <w:rFonts w:ascii="Times New Roman" w:hAnsi="Times New Roman"/>
          <w:sz w:val="24"/>
          <w:szCs w:val="24"/>
        </w:rPr>
        <w:t>. Інформація про експозиції з поступками</w:t>
      </w:r>
    </w:p>
    <w:p w:rsidR="001A6146" w:rsidRPr="001A6146" w:rsidRDefault="001A6146">
      <w:pPr>
        <w:rPr>
          <w:rStyle w:val="st102"/>
          <w:rFonts w:ascii="Times New Roman" w:hAnsi="Times New Roman"/>
          <w:sz w:val="24"/>
          <w:szCs w:val="24"/>
        </w:rPr>
      </w:pPr>
    </w:p>
    <w:tbl>
      <w:tblPr>
        <w:tblW w:w="22090" w:type="dxa"/>
        <w:tblCellSpacing w:w="0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1635"/>
        <w:gridCol w:w="987"/>
        <w:gridCol w:w="697"/>
        <w:gridCol w:w="697"/>
        <w:gridCol w:w="1009"/>
        <w:gridCol w:w="1274"/>
        <w:gridCol w:w="1135"/>
        <w:gridCol w:w="697"/>
        <w:gridCol w:w="1009"/>
        <w:gridCol w:w="1274"/>
        <w:gridCol w:w="779"/>
        <w:gridCol w:w="951"/>
        <w:gridCol w:w="1249"/>
        <w:gridCol w:w="697"/>
        <w:gridCol w:w="959"/>
        <w:gridCol w:w="697"/>
        <w:gridCol w:w="1009"/>
        <w:gridCol w:w="1274"/>
        <w:gridCol w:w="697"/>
        <w:gridCol w:w="1127"/>
        <w:gridCol w:w="697"/>
        <w:gridCol w:w="1132"/>
      </w:tblGrid>
      <w:tr w:rsidR="001A6146" w:rsidRPr="001A6146" w:rsidTr="001A6146">
        <w:trPr>
          <w:tblCellSpacing w:w="0" w:type="dxa"/>
        </w:trPr>
        <w:tc>
          <w:tcPr>
            <w:tcW w:w="2043" w:type="dxa"/>
            <w:gridSpan w:val="2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987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i/>
                <w:sz w:val="16"/>
                <w:szCs w:val="20"/>
                <w:lang w:bidi="ar"/>
              </w:rPr>
              <w:t>Покликання</w:t>
            </w:r>
            <w:proofErr w:type="spellEnd"/>
          </w:p>
        </w:tc>
        <w:tc>
          <w:tcPr>
            <w:tcW w:w="10771" w:type="dxa"/>
            <w:gridSpan w:val="11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Валова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балансова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сума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val="uk-UA" w:bidi="ar"/>
              </w:rPr>
              <w:t xml:space="preserve"> </w:t>
            </w: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/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номінальна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сума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експозицій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із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  <w:tc>
          <w:tcPr>
            <w:tcW w:w="4636" w:type="dxa"/>
            <w:gridSpan w:val="5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Накопичене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зменшення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корисності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накопичені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від’ємні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зміни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справедливої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вартості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через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кредитний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ризик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і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резерви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Валова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балансова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сума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val="uk-UA" w:bidi="ar"/>
              </w:rPr>
              <w:t xml:space="preserve"> </w:t>
            </w: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/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номінальна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сума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експозицій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із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  <w:tc>
          <w:tcPr>
            <w:tcW w:w="3653" w:type="dxa"/>
            <w:gridSpan w:val="4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Максимальна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сума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забезпечення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або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гарантії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яка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може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бути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врахована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bidi="ar"/>
              </w:rPr>
              <w:br/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2.119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2043" w:type="dxa"/>
            <w:gridSpan w:val="2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98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4115" w:type="dxa"/>
            <w:gridSpan w:val="4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Працюючі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експозиції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з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  <w:tc>
          <w:tcPr>
            <w:tcW w:w="5959" w:type="dxa"/>
            <w:gridSpan w:val="6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Непрацюючі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експозиції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з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val="uk-UA" w:bidi="ar"/>
              </w:rPr>
            </w:pPr>
          </w:p>
        </w:tc>
        <w:tc>
          <w:tcPr>
            <w:tcW w:w="959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Працюючі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експозиції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з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поступками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val="uk-UA" w:bidi="ar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накопичені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зменшення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корисності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резерви</w:t>
            </w:r>
            <w:proofErr w:type="spellEnd"/>
          </w:p>
        </w:tc>
        <w:tc>
          <w:tcPr>
            <w:tcW w:w="2980" w:type="dxa"/>
            <w:gridSpan w:val="3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Непрацюючі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експозиції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з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поступками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val="uk-UA" w:bidi="ar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накопичене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зменшення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корисності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накопичені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від’ємні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зміни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у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справедливій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вартості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через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кредитний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ризик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резерви</w:t>
            </w:r>
            <w:proofErr w:type="spellEnd"/>
          </w:p>
        </w:tc>
        <w:tc>
          <w:tcPr>
            <w:tcW w:w="3653" w:type="dxa"/>
            <w:gridSpan w:val="4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Отримане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забезпечення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отримані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гарантії</w:t>
            </w:r>
            <w:proofErr w:type="spellEnd"/>
          </w:p>
        </w:tc>
      </w:tr>
      <w:tr w:rsidR="001A6146" w:rsidRPr="001A6146" w:rsidTr="001A6146">
        <w:trPr>
          <w:tblCellSpacing w:w="0" w:type="dxa"/>
        </w:trPr>
        <w:tc>
          <w:tcPr>
            <w:tcW w:w="2043" w:type="dxa"/>
            <w:gridSpan w:val="2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98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009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Інструменти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зміненими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умовами</w:t>
            </w:r>
            <w:proofErr w:type="spellEnd"/>
          </w:p>
        </w:tc>
        <w:tc>
          <w:tcPr>
            <w:tcW w:w="1274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Рефінансування</w:t>
            </w:r>
            <w:proofErr w:type="spellEnd"/>
          </w:p>
        </w:tc>
        <w:tc>
          <w:tcPr>
            <w:tcW w:w="1135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Працюючі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експозиції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які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стали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предметом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перебувають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на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пробації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раніше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були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класифіковані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як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непрацюючі</w:t>
            </w:r>
            <w:proofErr w:type="spellEnd"/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009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Інструменти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зміненими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умовами</w:t>
            </w:r>
            <w:proofErr w:type="spellEnd"/>
          </w:p>
        </w:tc>
        <w:tc>
          <w:tcPr>
            <w:tcW w:w="1274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Рефінансування</w:t>
            </w:r>
            <w:proofErr w:type="spellEnd"/>
          </w:p>
        </w:tc>
        <w:tc>
          <w:tcPr>
            <w:tcW w:w="779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:</w:t>
            </w:r>
            <w:r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  <w:lang w:bidi="ar"/>
              </w:rPr>
              <w:br/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Дефолтні</w:t>
            </w:r>
            <w:proofErr w:type="spellEnd"/>
          </w:p>
        </w:tc>
        <w:tc>
          <w:tcPr>
            <w:tcW w:w="951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:</w:t>
            </w:r>
            <w:r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  <w:lang w:bidi="ar"/>
              </w:rPr>
              <w:br/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зменшеною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корисністю</w:t>
            </w:r>
            <w:proofErr w:type="spellEnd"/>
          </w:p>
        </w:tc>
        <w:tc>
          <w:tcPr>
            <w:tcW w:w="1249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:</w:t>
            </w:r>
            <w:r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  <w:lang w:bidi="ar"/>
              </w:rPr>
              <w:br/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Поступка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стосовно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експозицій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які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до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застосування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були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непрацюючими</w:t>
            </w:r>
            <w:proofErr w:type="spellEnd"/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95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009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Інструменти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зміненими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умовами</w:t>
            </w:r>
            <w:proofErr w:type="spellEnd"/>
          </w:p>
        </w:tc>
        <w:tc>
          <w:tcPr>
            <w:tcW w:w="1274" w:type="dxa"/>
            <w:vMerge w:val="restart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Рефінансування</w:t>
            </w:r>
            <w:proofErr w:type="spellEnd"/>
          </w:p>
        </w:tc>
        <w:tc>
          <w:tcPr>
            <w:tcW w:w="1824" w:type="dxa"/>
            <w:gridSpan w:val="2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Отримане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забезпечення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експозицій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із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  <w:tc>
          <w:tcPr>
            <w:tcW w:w="1829" w:type="dxa"/>
            <w:gridSpan w:val="2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гарантії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отримані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стосовно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експозицій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із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</w:tr>
      <w:tr w:rsidR="001A6146" w:rsidRPr="001A6146" w:rsidTr="001A6146">
        <w:trPr>
          <w:tblCellSpacing w:w="0" w:type="dxa"/>
        </w:trPr>
        <w:tc>
          <w:tcPr>
            <w:tcW w:w="2043" w:type="dxa"/>
            <w:gridSpan w:val="2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98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00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1274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1135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00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1274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77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951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124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95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1009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1274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12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Забезпечення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отримане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під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непрацюючі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експозиції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з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</w:p>
        </w:tc>
        <w:tc>
          <w:tcPr>
            <w:tcW w:w="1132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гарантії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отримані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стосовно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непрацюючих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експозицій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із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поступками</w:t>
            </w:r>
            <w:proofErr w:type="spellEnd"/>
          </w:p>
        </w:tc>
      </w:tr>
      <w:tr w:rsidR="001A6146" w:rsidRPr="001A6146" w:rsidTr="001A6146">
        <w:trPr>
          <w:tblCellSpacing w:w="0" w:type="dxa"/>
        </w:trPr>
        <w:tc>
          <w:tcPr>
            <w:tcW w:w="2043" w:type="dxa"/>
            <w:gridSpan w:val="2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98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010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020</w:t>
            </w:r>
          </w:p>
        </w:tc>
        <w:tc>
          <w:tcPr>
            <w:tcW w:w="100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030</w:t>
            </w:r>
          </w:p>
        </w:tc>
        <w:tc>
          <w:tcPr>
            <w:tcW w:w="1274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040</w:t>
            </w:r>
          </w:p>
        </w:tc>
        <w:tc>
          <w:tcPr>
            <w:tcW w:w="1135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050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060</w:t>
            </w:r>
          </w:p>
        </w:tc>
        <w:tc>
          <w:tcPr>
            <w:tcW w:w="100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070</w:t>
            </w:r>
          </w:p>
        </w:tc>
        <w:tc>
          <w:tcPr>
            <w:tcW w:w="1274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080</w:t>
            </w:r>
          </w:p>
        </w:tc>
        <w:tc>
          <w:tcPr>
            <w:tcW w:w="77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090</w:t>
            </w:r>
          </w:p>
        </w:tc>
        <w:tc>
          <w:tcPr>
            <w:tcW w:w="951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100</w:t>
            </w:r>
          </w:p>
        </w:tc>
        <w:tc>
          <w:tcPr>
            <w:tcW w:w="124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110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120</w:t>
            </w:r>
          </w:p>
        </w:tc>
        <w:tc>
          <w:tcPr>
            <w:tcW w:w="95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130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140</w:t>
            </w:r>
          </w:p>
        </w:tc>
        <w:tc>
          <w:tcPr>
            <w:tcW w:w="100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150</w:t>
            </w:r>
          </w:p>
        </w:tc>
        <w:tc>
          <w:tcPr>
            <w:tcW w:w="1274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160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170</w:t>
            </w:r>
          </w:p>
        </w:tc>
        <w:tc>
          <w:tcPr>
            <w:tcW w:w="112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175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180</w:t>
            </w:r>
          </w:p>
        </w:tc>
        <w:tc>
          <w:tcPr>
            <w:tcW w:w="1132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185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2043" w:type="dxa"/>
            <w:gridSpan w:val="2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987" w:type="dxa"/>
            <w:vMerge/>
          </w:tcPr>
          <w:p w:rsidR="001A6146" w:rsidRPr="001A6146" w:rsidRDefault="001A6146" w:rsidP="001A6146">
            <w:pPr>
              <w:jc w:val="center"/>
              <w:rPr>
                <w:rFonts w:ascii="Times New Roman" w:hAnsi="Times New Roman"/>
                <w:sz w:val="16"/>
                <w:lang w:bidi="ar"/>
              </w:rPr>
            </w:pP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val="uk-UA" w:bidi="ar"/>
              </w:rPr>
              <w:t xml:space="preserve"> 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val="uk-UA" w:bidi="ar"/>
              </w:rPr>
              <w:t xml:space="preserve"> 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1.34,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val="uk-UA" w:bidi="ar"/>
              </w:rPr>
              <w:t xml:space="preserve"> 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2. 118, 240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245, 251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258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2. 256, 259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262</w:t>
            </w:r>
          </w:p>
        </w:tc>
        <w:tc>
          <w:tcPr>
            <w:tcW w:w="100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2.241(a), 266</w:t>
            </w:r>
          </w:p>
        </w:tc>
        <w:tc>
          <w:tcPr>
            <w:tcW w:w="1274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241 (b), 265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266</w:t>
            </w:r>
          </w:p>
        </w:tc>
        <w:tc>
          <w:tcPr>
            <w:tcW w:w="1135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256(b), 261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2. 259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263</w:t>
            </w:r>
          </w:p>
        </w:tc>
        <w:tc>
          <w:tcPr>
            <w:tcW w:w="100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2.241(a), 266</w:t>
            </w:r>
          </w:p>
        </w:tc>
        <w:tc>
          <w:tcPr>
            <w:tcW w:w="1274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241 (b), 265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266</w:t>
            </w:r>
          </w:p>
        </w:tc>
        <w:tc>
          <w:tcPr>
            <w:tcW w:w="77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РВК,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стаття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178;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2.264(b)</w:t>
            </w:r>
          </w:p>
        </w:tc>
        <w:tc>
          <w:tcPr>
            <w:tcW w:w="951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МСФЗ 9.5.5.1; МСФЗ 9.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A;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2.264(a)</w:t>
            </w:r>
          </w:p>
        </w:tc>
        <w:tc>
          <w:tcPr>
            <w:tcW w:w="124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231, 252(a), 263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2. 267</w:t>
            </w:r>
          </w:p>
        </w:tc>
        <w:tc>
          <w:tcPr>
            <w:tcW w:w="95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2. 207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2. 207</w:t>
            </w:r>
          </w:p>
        </w:tc>
        <w:tc>
          <w:tcPr>
            <w:tcW w:w="1009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241(a), 267</w:t>
            </w:r>
          </w:p>
        </w:tc>
        <w:tc>
          <w:tcPr>
            <w:tcW w:w="1274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241(b), 267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2. 268</w:t>
            </w:r>
          </w:p>
        </w:tc>
        <w:tc>
          <w:tcPr>
            <w:tcW w:w="112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2. 268</w:t>
            </w:r>
          </w:p>
        </w:tc>
        <w:tc>
          <w:tcPr>
            <w:tcW w:w="697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2. 268</w:t>
            </w:r>
          </w:p>
        </w:tc>
        <w:tc>
          <w:tcPr>
            <w:tcW w:w="1132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2. 268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005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Касові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залишки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в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центральних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банках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депозити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до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запитання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2.2, 3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010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Боргові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цінні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папери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1.31, 44(b)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020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Центральні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банки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030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Загальні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уряди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040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установи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1.42(c)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050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1.42(d)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060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1.42(e)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070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аванси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1.32, 44(a)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080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Центральні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банки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090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Загальні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уряди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100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установи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1.42(c)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110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1.42(d)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lastRenderedPageBreak/>
              <w:t>120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1.42(e)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130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середні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підприємства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МСП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стаття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 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140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комерційним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нерухомим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майном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2.86(a), 87, 234i 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150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Домогосподарства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1.42(f)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160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житловим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нерухомим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майном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2.86(a), 87, 234i 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170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Споживчий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2.88(a), 234i(b)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БОРГОВІ ІНСТРУМЕНТИ, ЯКІ ОЦІНЕНО ЗА СОБІВАРТІСТЮ АБО АМОРТИЗОВАНОЮ СОБІВАРТІСТЮ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2.249(a)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181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Боргові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цінні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папери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1.31, 44(b)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182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Центральні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банки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Загальні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уряди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184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установи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1.42(c)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185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1.42(d)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186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1.42(e)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191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аванси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1.32, 44(a)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192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Центральні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банки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193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Загальні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уряди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194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установи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1.42(c)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195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1.42(d)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196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1.42(e)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900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середні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підприємства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МСП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стаття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 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903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комерційним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нерухомим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майном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2.86(a), 87, 234i 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lastRenderedPageBreak/>
              <w:t>197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Домогосподарства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1.42(f)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910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житловим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нерухомим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майном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2.86(a), 87, 234i 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913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Споживчий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2.88(a), 234i(b)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201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БОРГОВІ ІНСТРУМЕНТИ, ОЦІНЕНІ ЗА СПРАВЕДЛИВОЮ ВАРТІСТЮ ЧЕРЕЗ ІНШИЙ СУКУПНИЙ ДОХІД АБО ЧЕРЕЗ ВЛАСНИЙ КАПІТАЛ ЗІ ЗМЕНШЕНОЮ КОРИСНІСТЮ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2.249(b)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211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Боргові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цінні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папери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1.31, 44(b)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212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Центральні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банки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213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Загальні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уряди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214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установи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1.42(c)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215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1.42(d)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216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1.42(e)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221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аванси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1.32, 44(a)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222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Центральні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банки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Загальні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уряди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224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установи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1.42(c)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225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Інші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1.42(d)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226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Нефінансові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корпорації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1.42(e)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920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та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середні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підприємства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МСП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стаття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 2(a)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923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комерційним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нерухомим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майном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2.86(a), 87, 234i 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227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Домогосподарства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1.42(f)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lastRenderedPageBreak/>
              <w:t>930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Позики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,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забезпечені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житловим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нерухомим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майном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2.86(a), 87, 234i (a)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933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У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тому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числі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: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Споживчий</w:t>
            </w:r>
            <w:proofErr w:type="spellEnd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кредит</w:t>
            </w:r>
            <w:proofErr w:type="spellEnd"/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2.88(a), 234i(b)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231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БОРГОВІ ІНСТРУМЕНТИ, ВІДОБРАЖЕНІ ЛИШЕ ЗА СОБІВАРТІСТЮ ЧИ РИНКОВОЮ ЦІНОЮ (LOCOM) АБО ЗА СПРАВЕДЛИВОЮ ВАРТІСТЮ ЧЕРЕЗ ПРИБУТОК АБО ЗБИТОК ЧИ ЧЕРЕЗ ВЛАСНИЙ КАПІТАЛ ЗІ ЗМЕНШЕНОЮ КОРИСНІСТЮ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2.249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330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БОРГОВІ ІНСТРУМЕНТИ, КРІМ ТИХ, ЩО УТРИМУЮТЬСЯ ДЛЯ ТОРГІВЛІ, ТА КРІМ ТОРГОВЕЛЬНИХ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2.246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335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БОРГОВІ ІНСТРУМЕНТИ, УТРИМУВАНІ ДЛЯ ПРОДАЖУ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2.247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  <w:tr w:rsidR="001A6146" w:rsidRPr="001A6146" w:rsidTr="001A6146">
        <w:trPr>
          <w:tblCellSpacing w:w="0" w:type="dxa"/>
        </w:trPr>
        <w:tc>
          <w:tcPr>
            <w:tcW w:w="408" w:type="dxa"/>
          </w:tcPr>
          <w:p w:rsidR="001A6146" w:rsidRPr="001A6146" w:rsidRDefault="001A6146" w:rsidP="001A6146">
            <w:pPr>
              <w:pStyle w:val="a4"/>
              <w:jc w:val="center"/>
              <w:rPr>
                <w:rFonts w:ascii="Times New Roman" w:hAnsi="Times New Roman"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bidi="ar"/>
              </w:rPr>
              <w:t>340</w:t>
            </w:r>
          </w:p>
        </w:tc>
        <w:tc>
          <w:tcPr>
            <w:tcW w:w="16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b/>
                <w:sz w:val="16"/>
                <w:szCs w:val="20"/>
                <w:lang w:bidi="ar"/>
              </w:rPr>
            </w:pP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Надані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зобов’язання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з </w:t>
            </w:r>
            <w:proofErr w:type="spellStart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>кредитування</w:t>
            </w:r>
            <w:proofErr w:type="spellEnd"/>
            <w:r w:rsidRPr="001A6146">
              <w:rPr>
                <w:rFonts w:ascii="Times New Roman" w:hAnsi="Times New Roman"/>
                <w:b/>
                <w:sz w:val="16"/>
                <w:szCs w:val="20"/>
                <w:lang w:bidi="ar"/>
              </w:rPr>
              <w:t xml:space="preserve"> </w:t>
            </w:r>
          </w:p>
        </w:tc>
        <w:tc>
          <w:tcPr>
            <w:tcW w:w="98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i/>
                <w:sz w:val="16"/>
                <w:szCs w:val="20"/>
                <w:lang w:bidi="ar"/>
              </w:rPr>
            </w:pP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РВК,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I;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додаток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V.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1.44(g), </w:t>
            </w:r>
            <w:proofErr w:type="spellStart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>частина</w:t>
            </w:r>
            <w:proofErr w:type="spellEnd"/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 2.102</w:t>
            </w:r>
            <w:r>
              <w:rPr>
                <w:rFonts w:ascii="Times New Roman" w:hAnsi="Times New Roman"/>
                <w:i/>
                <w:sz w:val="16"/>
                <w:szCs w:val="20"/>
                <w:lang w:bidi="ar"/>
              </w:rPr>
              <w:t>-</w:t>
            </w:r>
            <w:r w:rsidRPr="001A6146">
              <w:rPr>
                <w:rFonts w:ascii="Times New Roman" w:hAnsi="Times New Roman"/>
                <w:i/>
                <w:sz w:val="16"/>
                <w:szCs w:val="20"/>
                <w:lang w:bidi="ar"/>
              </w:rPr>
              <w:t xml:space="preserve">105, 113, 116, 246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5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77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1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4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95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009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274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2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697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  <w:tc>
          <w:tcPr>
            <w:tcW w:w="1132" w:type="dxa"/>
          </w:tcPr>
          <w:p w:rsidR="001A6146" w:rsidRPr="001A6146" w:rsidRDefault="001A6146" w:rsidP="00722A0C">
            <w:pPr>
              <w:pStyle w:val="a4"/>
              <w:rPr>
                <w:rFonts w:ascii="Times New Roman" w:hAnsi="Times New Roman"/>
                <w:sz w:val="16"/>
                <w:szCs w:val="20"/>
                <w:lang w:val="uk-UA" w:bidi="ar"/>
              </w:rPr>
            </w:pPr>
            <w:r w:rsidRPr="001A6146">
              <w:rPr>
                <w:rFonts w:ascii="Times New Roman" w:hAnsi="Times New Roman"/>
                <w:sz w:val="16"/>
                <w:szCs w:val="20"/>
                <w:lang w:val="uk-UA" w:bidi="ar"/>
              </w:rPr>
              <w:t xml:space="preserve"> </w:t>
            </w:r>
          </w:p>
        </w:tc>
      </w:tr>
    </w:tbl>
    <w:p w:rsidR="001A6146" w:rsidRDefault="001A6146" w:rsidP="001A6146"/>
    <w:sectPr w:rsidR="001A6146" w:rsidSect="001A6146">
      <w:pgSz w:w="23811" w:h="16838" w:orient="landscape" w:code="8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46"/>
    <w:rsid w:val="001A6146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98D4"/>
  <w15:chartTrackingRefBased/>
  <w15:docId w15:val="{9370E167-2980-4779-838E-323F468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2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rsid w:val="00CB412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A6146"/>
    <w:pPr>
      <w:spacing w:before="100" w:beforeAutospacing="1" w:after="100" w:afterAutospacing="1"/>
      <w:outlineLvl w:val="4"/>
    </w:pPr>
    <w:rPr>
      <w:rFonts w:ascii="SimSun" w:eastAsia="SimSun" w:hAnsi="SimSun"/>
      <w:b/>
      <w:i/>
      <w:sz w:val="20"/>
      <w:lang w:val="en-US" w:eastAsia="zh-CN"/>
    </w:rPr>
  </w:style>
  <w:style w:type="paragraph" w:styleId="6">
    <w:name w:val="heading 6"/>
    <w:basedOn w:val="a"/>
    <w:next w:val="a"/>
    <w:link w:val="60"/>
    <w:uiPriority w:val="9"/>
    <w:qFormat/>
    <w:rsid w:val="001A6146"/>
    <w:pPr>
      <w:spacing w:before="100" w:beforeAutospacing="1" w:after="100" w:afterAutospacing="1"/>
      <w:outlineLvl w:val="5"/>
    </w:pPr>
    <w:rPr>
      <w:rFonts w:ascii="SimSun" w:eastAsia="SimSun" w:hAnsi="SimSun"/>
      <w:b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4128"/>
    <w:rPr>
      <w:rFonts w:ascii="Antiqua" w:hAnsi="Antiqua"/>
      <w:sz w:val="26"/>
      <w:lang w:eastAsia="ru-RU"/>
    </w:rPr>
  </w:style>
  <w:style w:type="character" w:customStyle="1" w:styleId="st102">
    <w:name w:val="st102"/>
    <w:uiPriority w:val="99"/>
    <w:rsid w:val="001A6146"/>
    <w:rPr>
      <w:b/>
      <w:bCs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1A6146"/>
    <w:rPr>
      <w:rFonts w:ascii="SimSun" w:eastAsia="SimSun" w:hAnsi="SimSun"/>
      <w:b/>
      <w:i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rsid w:val="001A6146"/>
    <w:rPr>
      <w:rFonts w:ascii="SimSun" w:eastAsia="SimSun" w:hAnsi="SimSun"/>
      <w:b/>
      <w:sz w:val="14"/>
      <w:szCs w:val="14"/>
      <w:lang w:val="en-US" w:eastAsia="zh-CN"/>
    </w:rPr>
  </w:style>
  <w:style w:type="character" w:styleId="a3">
    <w:name w:val="Hyperlink"/>
    <w:basedOn w:val="a0"/>
    <w:uiPriority w:val="99"/>
    <w:rsid w:val="001A61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A6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/>
      <w:sz w:val="24"/>
      <w:szCs w:val="24"/>
      <w:lang w:val="en-US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1A6146"/>
    <w:rPr>
      <w:rFonts w:ascii="SimSun" w:eastAsia="SimSun" w:hAnsi="SimSun"/>
      <w:sz w:val="24"/>
      <w:szCs w:val="24"/>
      <w:lang w:val="en-US" w:eastAsia="zh-CN"/>
    </w:rPr>
  </w:style>
  <w:style w:type="paragraph" w:styleId="a4">
    <w:name w:val="Normal (Web)"/>
    <w:basedOn w:val="a"/>
    <w:uiPriority w:val="99"/>
    <w:rsid w:val="001A6146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5503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1</cp:revision>
  <dcterms:created xsi:type="dcterms:W3CDTF">2023-09-28T09:14:00Z</dcterms:created>
  <dcterms:modified xsi:type="dcterms:W3CDTF">2023-09-28T09:24:00Z</dcterms:modified>
</cp:coreProperties>
</file>