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FF6" w:rsidRPr="00FF3FF6" w:rsidRDefault="00FF3FF6" w:rsidP="00FF3FF6">
      <w:pPr>
        <w:pStyle w:val="a3"/>
        <w:rPr>
          <w:rFonts w:ascii="Times New Roman" w:hAnsi="Times New Roman"/>
          <w:b/>
          <w:lang w:bidi="ar"/>
        </w:rPr>
      </w:pPr>
      <w:bookmarkStart w:id="0" w:name="_GoBack"/>
      <w:bookmarkEnd w:id="0"/>
      <w:r w:rsidRPr="00FF3FF6">
        <w:rPr>
          <w:rFonts w:ascii="Times New Roman" w:hAnsi="Times New Roman"/>
          <w:b/>
          <w:lang w:bidi="ar"/>
        </w:rPr>
        <w:t>23.3</w:t>
      </w:r>
      <w:r>
        <w:rPr>
          <w:rFonts w:ascii="Times New Roman" w:hAnsi="Times New Roman"/>
          <w:b/>
          <w:lang w:val="uk-UA" w:bidi="ar"/>
        </w:rPr>
        <w:t xml:space="preserve"> </w:t>
      </w:r>
      <w:proofErr w:type="spellStart"/>
      <w:r w:rsidRPr="00FF3FF6">
        <w:rPr>
          <w:rFonts w:ascii="Times New Roman" w:hAnsi="Times New Roman"/>
          <w:b/>
          <w:lang w:bidi="ar"/>
        </w:rPr>
        <w:t>Позики</w:t>
      </w:r>
      <w:proofErr w:type="spellEnd"/>
      <w:r w:rsidRPr="00FF3FF6">
        <w:rPr>
          <w:rFonts w:ascii="Times New Roman" w:hAnsi="Times New Roman"/>
          <w:b/>
          <w:lang w:bidi="ar"/>
        </w:rPr>
        <w:t xml:space="preserve"> </w:t>
      </w:r>
      <w:proofErr w:type="spellStart"/>
      <w:r w:rsidRPr="00FF3FF6">
        <w:rPr>
          <w:rFonts w:ascii="Times New Roman" w:hAnsi="Times New Roman"/>
          <w:b/>
          <w:lang w:bidi="ar"/>
        </w:rPr>
        <w:t>та</w:t>
      </w:r>
      <w:proofErr w:type="spellEnd"/>
      <w:r w:rsidRPr="00FF3FF6">
        <w:rPr>
          <w:rFonts w:ascii="Times New Roman" w:hAnsi="Times New Roman"/>
          <w:b/>
          <w:lang w:bidi="ar"/>
        </w:rPr>
        <w:t xml:space="preserve"> </w:t>
      </w:r>
      <w:proofErr w:type="spellStart"/>
      <w:r w:rsidRPr="00FF3FF6">
        <w:rPr>
          <w:rFonts w:ascii="Times New Roman" w:hAnsi="Times New Roman"/>
          <w:b/>
          <w:lang w:bidi="ar"/>
        </w:rPr>
        <w:t>аванси</w:t>
      </w:r>
      <w:proofErr w:type="spellEnd"/>
      <w:r w:rsidRPr="00FF3FF6">
        <w:rPr>
          <w:rFonts w:ascii="Times New Roman" w:hAnsi="Times New Roman"/>
          <w:b/>
          <w:lang w:bidi="ar"/>
        </w:rPr>
        <w:t xml:space="preserve">, </w:t>
      </w:r>
      <w:proofErr w:type="spellStart"/>
      <w:r w:rsidRPr="00FF3FF6">
        <w:rPr>
          <w:rFonts w:ascii="Times New Roman" w:hAnsi="Times New Roman"/>
          <w:b/>
          <w:lang w:bidi="ar"/>
        </w:rPr>
        <w:t>забезпечені</w:t>
      </w:r>
      <w:proofErr w:type="spellEnd"/>
      <w:r w:rsidRPr="00FF3FF6">
        <w:rPr>
          <w:rFonts w:ascii="Times New Roman" w:hAnsi="Times New Roman"/>
          <w:b/>
          <w:lang w:bidi="ar"/>
        </w:rPr>
        <w:t xml:space="preserve"> </w:t>
      </w:r>
      <w:proofErr w:type="spellStart"/>
      <w:r w:rsidRPr="00FF3FF6">
        <w:rPr>
          <w:rFonts w:ascii="Times New Roman" w:hAnsi="Times New Roman"/>
          <w:b/>
          <w:lang w:bidi="ar"/>
        </w:rPr>
        <w:t>нерухомим</w:t>
      </w:r>
      <w:proofErr w:type="spellEnd"/>
      <w:r w:rsidRPr="00FF3FF6">
        <w:rPr>
          <w:rFonts w:ascii="Times New Roman" w:hAnsi="Times New Roman"/>
          <w:b/>
          <w:lang w:bidi="ar"/>
        </w:rPr>
        <w:t xml:space="preserve"> </w:t>
      </w:r>
      <w:proofErr w:type="spellStart"/>
      <w:r w:rsidRPr="00FF3FF6">
        <w:rPr>
          <w:rFonts w:ascii="Times New Roman" w:hAnsi="Times New Roman"/>
          <w:b/>
          <w:lang w:bidi="ar"/>
        </w:rPr>
        <w:t>майном</w:t>
      </w:r>
      <w:proofErr w:type="spellEnd"/>
      <w:r w:rsidRPr="00FF3FF6">
        <w:rPr>
          <w:rFonts w:ascii="Times New Roman" w:hAnsi="Times New Roman"/>
          <w:b/>
          <w:lang w:bidi="ar"/>
        </w:rPr>
        <w:t xml:space="preserve">: </w:t>
      </w:r>
      <w:proofErr w:type="spellStart"/>
      <w:r w:rsidRPr="00FF3FF6">
        <w:rPr>
          <w:rFonts w:ascii="Times New Roman" w:hAnsi="Times New Roman"/>
          <w:b/>
          <w:lang w:bidi="ar"/>
        </w:rPr>
        <w:t>Розподіл</w:t>
      </w:r>
      <w:proofErr w:type="spellEnd"/>
      <w:r w:rsidRPr="00FF3FF6">
        <w:rPr>
          <w:rFonts w:ascii="Times New Roman" w:hAnsi="Times New Roman"/>
          <w:b/>
          <w:lang w:bidi="ar"/>
        </w:rPr>
        <w:t xml:space="preserve"> </w:t>
      </w:r>
      <w:proofErr w:type="spellStart"/>
      <w:r w:rsidRPr="00FF3FF6">
        <w:rPr>
          <w:rFonts w:ascii="Times New Roman" w:hAnsi="Times New Roman"/>
          <w:b/>
          <w:lang w:bidi="ar"/>
        </w:rPr>
        <w:t>за</w:t>
      </w:r>
      <w:proofErr w:type="spellEnd"/>
      <w:r w:rsidRPr="00FF3FF6">
        <w:rPr>
          <w:rFonts w:ascii="Times New Roman" w:hAnsi="Times New Roman"/>
          <w:b/>
          <w:lang w:bidi="ar"/>
        </w:rPr>
        <w:t xml:space="preserve"> </w:t>
      </w:r>
      <w:proofErr w:type="spellStart"/>
      <w:r w:rsidRPr="00FF3FF6">
        <w:rPr>
          <w:rFonts w:ascii="Times New Roman" w:hAnsi="Times New Roman"/>
          <w:b/>
          <w:lang w:bidi="ar"/>
        </w:rPr>
        <w:t>співвідношенням</w:t>
      </w:r>
      <w:proofErr w:type="spellEnd"/>
      <w:r w:rsidRPr="00FF3FF6">
        <w:rPr>
          <w:rFonts w:ascii="Times New Roman" w:hAnsi="Times New Roman"/>
          <w:b/>
          <w:lang w:bidi="ar"/>
        </w:rPr>
        <w:t xml:space="preserve"> </w:t>
      </w:r>
      <w:proofErr w:type="spellStart"/>
      <w:r w:rsidRPr="00FF3FF6">
        <w:rPr>
          <w:rFonts w:ascii="Times New Roman" w:hAnsi="Times New Roman"/>
          <w:b/>
          <w:lang w:bidi="ar"/>
        </w:rPr>
        <w:t>суми</w:t>
      </w:r>
      <w:proofErr w:type="spellEnd"/>
      <w:r w:rsidRPr="00FF3FF6">
        <w:rPr>
          <w:rFonts w:ascii="Times New Roman" w:hAnsi="Times New Roman"/>
          <w:b/>
          <w:lang w:bidi="ar"/>
        </w:rPr>
        <w:t xml:space="preserve"> </w:t>
      </w:r>
      <w:proofErr w:type="spellStart"/>
      <w:r>
        <w:rPr>
          <w:rFonts w:ascii="Times New Roman" w:hAnsi="Times New Roman"/>
          <w:b/>
          <w:lang w:bidi="ar"/>
        </w:rPr>
        <w:t>позики</w:t>
      </w:r>
      <w:proofErr w:type="spellEnd"/>
      <w:r>
        <w:rPr>
          <w:rFonts w:ascii="Times New Roman" w:hAnsi="Times New Roman"/>
          <w:b/>
          <w:lang w:bidi="ar"/>
        </w:rPr>
        <w:t xml:space="preserve"> </w:t>
      </w:r>
      <w:proofErr w:type="spellStart"/>
      <w:r>
        <w:rPr>
          <w:rFonts w:ascii="Times New Roman" w:hAnsi="Times New Roman"/>
          <w:b/>
          <w:lang w:bidi="ar"/>
        </w:rPr>
        <w:t>та</w:t>
      </w:r>
      <w:proofErr w:type="spellEnd"/>
      <w:r>
        <w:rPr>
          <w:rFonts w:ascii="Times New Roman" w:hAnsi="Times New Roman"/>
          <w:b/>
          <w:lang w:bidi="ar"/>
        </w:rPr>
        <w:t xml:space="preserve"> </w:t>
      </w:r>
      <w:proofErr w:type="spellStart"/>
      <w:r>
        <w:rPr>
          <w:rFonts w:ascii="Times New Roman" w:hAnsi="Times New Roman"/>
          <w:b/>
          <w:lang w:bidi="ar"/>
        </w:rPr>
        <w:t>вартості</w:t>
      </w:r>
      <w:proofErr w:type="spellEnd"/>
      <w:r>
        <w:rPr>
          <w:rFonts w:ascii="Times New Roman" w:hAnsi="Times New Roman"/>
          <w:b/>
          <w:lang w:bidi="ar"/>
        </w:rPr>
        <w:t xml:space="preserve"> </w:t>
      </w:r>
      <w:proofErr w:type="spellStart"/>
      <w:r>
        <w:rPr>
          <w:rFonts w:ascii="Times New Roman" w:hAnsi="Times New Roman"/>
          <w:b/>
          <w:lang w:bidi="ar"/>
        </w:rPr>
        <w:t>забезпечення</w:t>
      </w:r>
      <w:proofErr w:type="spellEnd"/>
    </w:p>
    <w:tbl>
      <w:tblPr>
        <w:tblW w:w="22545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4"/>
        <w:gridCol w:w="1701"/>
        <w:gridCol w:w="1280"/>
        <w:gridCol w:w="783"/>
        <w:gridCol w:w="1003"/>
        <w:gridCol w:w="783"/>
        <w:gridCol w:w="1459"/>
        <w:gridCol w:w="1003"/>
        <w:gridCol w:w="783"/>
        <w:gridCol w:w="1003"/>
        <w:gridCol w:w="783"/>
        <w:gridCol w:w="1003"/>
        <w:gridCol w:w="1032"/>
        <w:gridCol w:w="1295"/>
        <w:gridCol w:w="1709"/>
        <w:gridCol w:w="1551"/>
        <w:gridCol w:w="1300"/>
        <w:gridCol w:w="1259"/>
        <w:gridCol w:w="1217"/>
        <w:gridCol w:w="1034"/>
      </w:tblGrid>
      <w:tr w:rsidR="00FF3FF6" w:rsidRPr="00FF3FF6" w:rsidTr="00FF3FF6">
        <w:trPr>
          <w:tblCellSpacing w:w="0" w:type="dxa"/>
          <w:jc w:val="center"/>
        </w:trPr>
        <w:tc>
          <w:tcPr>
            <w:tcW w:w="2265" w:type="dxa"/>
            <w:gridSpan w:val="2"/>
            <w:vMerge w:val="restart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1280" w:type="dxa"/>
            <w:vMerge w:val="restart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lang w:bidi="ar"/>
              </w:rPr>
            </w:pPr>
            <w:proofErr w:type="spellStart"/>
            <w:r w:rsidRPr="00FF3FF6">
              <w:rPr>
                <w:rFonts w:ascii="Times New Roman" w:hAnsi="Times New Roman"/>
                <w:b/>
                <w:i/>
                <w:sz w:val="18"/>
                <w:lang w:bidi="ar"/>
              </w:rPr>
              <w:t>Покликання</w:t>
            </w:r>
            <w:proofErr w:type="spellEnd"/>
          </w:p>
        </w:tc>
        <w:tc>
          <w:tcPr>
            <w:tcW w:w="18999" w:type="dxa"/>
            <w:gridSpan w:val="17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  <w:proofErr w:type="spellStart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>Загальна</w:t>
            </w:r>
            <w:proofErr w:type="spellEnd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>балансова</w:t>
            </w:r>
            <w:proofErr w:type="spellEnd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>сума</w:t>
            </w:r>
            <w:proofErr w:type="spellEnd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r w:rsidRPr="00FF3FF6">
              <w:rPr>
                <w:rFonts w:ascii="Times New Roman" w:hAnsi="Times New Roman"/>
                <w:b/>
                <w:sz w:val="18"/>
                <w:lang w:bidi="ar"/>
              </w:rPr>
              <w:br/>
            </w:r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(</w:t>
            </w: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1.34)</w:t>
            </w:r>
          </w:p>
        </w:tc>
      </w:tr>
      <w:tr w:rsidR="00FF3FF6" w:rsidRPr="00FF3FF6" w:rsidTr="00FF3FF6">
        <w:trPr>
          <w:tblCellSpacing w:w="0" w:type="dxa"/>
          <w:jc w:val="center"/>
        </w:trPr>
        <w:tc>
          <w:tcPr>
            <w:tcW w:w="2265" w:type="dxa"/>
            <w:gridSpan w:val="2"/>
            <w:vMerge/>
          </w:tcPr>
          <w:p w:rsidR="00FF3FF6" w:rsidRPr="00FF3FF6" w:rsidRDefault="00FF3FF6" w:rsidP="00FF3FF6">
            <w:pPr>
              <w:jc w:val="center"/>
              <w:rPr>
                <w:rFonts w:ascii="Times New Roman" w:hAnsi="Times New Roman"/>
                <w:sz w:val="18"/>
                <w:lang w:bidi="ar"/>
              </w:rPr>
            </w:pPr>
          </w:p>
        </w:tc>
        <w:tc>
          <w:tcPr>
            <w:tcW w:w="1280" w:type="dxa"/>
            <w:vMerge/>
          </w:tcPr>
          <w:p w:rsidR="00FF3FF6" w:rsidRPr="00FF3FF6" w:rsidRDefault="00FF3FF6" w:rsidP="00FF3FF6">
            <w:pPr>
              <w:jc w:val="center"/>
              <w:rPr>
                <w:rFonts w:ascii="Times New Roman" w:hAnsi="Times New Roman"/>
                <w:sz w:val="18"/>
                <w:lang w:bidi="ar"/>
              </w:rPr>
            </w:pPr>
          </w:p>
        </w:tc>
        <w:tc>
          <w:tcPr>
            <w:tcW w:w="783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1003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3245" w:type="dxa"/>
            <w:gridSpan w:val="3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  <w:proofErr w:type="spellStart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>Працюючі</w:t>
            </w:r>
            <w:proofErr w:type="spellEnd"/>
          </w:p>
        </w:tc>
        <w:tc>
          <w:tcPr>
            <w:tcW w:w="13968" w:type="dxa"/>
            <w:gridSpan w:val="12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  <w:proofErr w:type="spellStart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>Непрацюючі</w:t>
            </w:r>
            <w:proofErr w:type="spellEnd"/>
          </w:p>
        </w:tc>
      </w:tr>
      <w:tr w:rsidR="00FF3FF6" w:rsidRPr="00FF3FF6" w:rsidTr="00FF3FF6">
        <w:trPr>
          <w:tblCellSpacing w:w="0" w:type="dxa"/>
          <w:jc w:val="center"/>
        </w:trPr>
        <w:tc>
          <w:tcPr>
            <w:tcW w:w="2265" w:type="dxa"/>
            <w:gridSpan w:val="2"/>
            <w:vMerge/>
          </w:tcPr>
          <w:p w:rsidR="00FF3FF6" w:rsidRPr="00FF3FF6" w:rsidRDefault="00FF3FF6" w:rsidP="00FF3FF6">
            <w:pPr>
              <w:jc w:val="center"/>
              <w:rPr>
                <w:rFonts w:ascii="Times New Roman" w:hAnsi="Times New Roman"/>
                <w:sz w:val="18"/>
                <w:lang w:bidi="ar"/>
              </w:rPr>
            </w:pPr>
          </w:p>
        </w:tc>
        <w:tc>
          <w:tcPr>
            <w:tcW w:w="1280" w:type="dxa"/>
            <w:vMerge/>
          </w:tcPr>
          <w:p w:rsidR="00FF3FF6" w:rsidRPr="00FF3FF6" w:rsidRDefault="00FF3FF6" w:rsidP="00FF3FF6">
            <w:pPr>
              <w:jc w:val="center"/>
              <w:rPr>
                <w:rFonts w:ascii="Times New Roman" w:hAnsi="Times New Roman"/>
                <w:sz w:val="18"/>
                <w:lang w:bidi="ar"/>
              </w:rPr>
            </w:pPr>
          </w:p>
        </w:tc>
        <w:tc>
          <w:tcPr>
            <w:tcW w:w="783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1003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783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val="uk-UA" w:bidi="ar"/>
              </w:rPr>
            </w:pPr>
          </w:p>
        </w:tc>
        <w:tc>
          <w:tcPr>
            <w:tcW w:w="1459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val="uk-UA" w:bidi="ar"/>
              </w:rPr>
            </w:pPr>
          </w:p>
        </w:tc>
        <w:tc>
          <w:tcPr>
            <w:tcW w:w="1003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val="uk-UA" w:bidi="ar"/>
              </w:rPr>
            </w:pPr>
          </w:p>
        </w:tc>
        <w:tc>
          <w:tcPr>
            <w:tcW w:w="783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val="uk-UA" w:bidi="ar"/>
              </w:rPr>
            </w:pPr>
          </w:p>
        </w:tc>
        <w:tc>
          <w:tcPr>
            <w:tcW w:w="1003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val="uk-UA" w:bidi="ar"/>
              </w:rPr>
            </w:pPr>
          </w:p>
        </w:tc>
        <w:tc>
          <w:tcPr>
            <w:tcW w:w="1786" w:type="dxa"/>
            <w:gridSpan w:val="2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  <w:proofErr w:type="spellStart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>Мала</w:t>
            </w:r>
            <w:proofErr w:type="spellEnd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>ймовірність</w:t>
            </w:r>
            <w:proofErr w:type="spellEnd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>виплати</w:t>
            </w:r>
            <w:proofErr w:type="spellEnd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 xml:space="preserve">, </w:t>
            </w:r>
            <w:proofErr w:type="spellStart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>без</w:t>
            </w:r>
            <w:proofErr w:type="spellEnd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>прострочення</w:t>
            </w:r>
            <w:proofErr w:type="spellEnd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>або</w:t>
            </w:r>
            <w:proofErr w:type="spellEnd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 xml:space="preserve"> з </w:t>
            </w:r>
            <w:proofErr w:type="spellStart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>простроченням</w:t>
            </w:r>
            <w:proofErr w:type="spellEnd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 xml:space="preserve"> &lt;= 90 </w:t>
            </w:r>
            <w:proofErr w:type="spellStart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>днів</w:t>
            </w:r>
            <w:proofErr w:type="spellEnd"/>
          </w:p>
        </w:tc>
        <w:tc>
          <w:tcPr>
            <w:tcW w:w="10396" w:type="dxa"/>
            <w:gridSpan w:val="8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  <w:proofErr w:type="spellStart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>Простроченість</w:t>
            </w:r>
            <w:proofErr w:type="spellEnd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 xml:space="preserve"> &gt; 90</w:t>
            </w:r>
            <w:r w:rsidRPr="00FF3FF6">
              <w:rPr>
                <w:rFonts w:ascii="Times New Roman" w:hAnsi="Times New Roman"/>
                <w:b/>
                <w:sz w:val="18"/>
                <w:lang w:val="uk-UA"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>днів</w:t>
            </w:r>
            <w:proofErr w:type="spellEnd"/>
          </w:p>
        </w:tc>
      </w:tr>
      <w:tr w:rsidR="00FF3FF6" w:rsidRPr="00FF3FF6" w:rsidTr="00FF3FF6">
        <w:trPr>
          <w:tblCellSpacing w:w="0" w:type="dxa"/>
          <w:jc w:val="center"/>
        </w:trPr>
        <w:tc>
          <w:tcPr>
            <w:tcW w:w="2265" w:type="dxa"/>
            <w:gridSpan w:val="2"/>
            <w:vMerge/>
          </w:tcPr>
          <w:p w:rsidR="00FF3FF6" w:rsidRPr="00FF3FF6" w:rsidRDefault="00FF3FF6" w:rsidP="00FF3FF6">
            <w:pPr>
              <w:jc w:val="center"/>
              <w:rPr>
                <w:rFonts w:ascii="Times New Roman" w:hAnsi="Times New Roman"/>
                <w:sz w:val="18"/>
                <w:lang w:bidi="ar"/>
              </w:rPr>
            </w:pPr>
          </w:p>
        </w:tc>
        <w:tc>
          <w:tcPr>
            <w:tcW w:w="1280" w:type="dxa"/>
            <w:vMerge/>
          </w:tcPr>
          <w:p w:rsidR="00FF3FF6" w:rsidRPr="00FF3FF6" w:rsidRDefault="00FF3FF6" w:rsidP="00FF3FF6">
            <w:pPr>
              <w:jc w:val="center"/>
              <w:rPr>
                <w:rFonts w:ascii="Times New Roman" w:hAnsi="Times New Roman"/>
                <w:sz w:val="18"/>
                <w:lang w:bidi="ar"/>
              </w:rPr>
            </w:pPr>
          </w:p>
        </w:tc>
        <w:tc>
          <w:tcPr>
            <w:tcW w:w="783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1003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F3FF6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Експозиції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з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поступками</w:t>
            </w:r>
            <w:proofErr w:type="spellEnd"/>
          </w:p>
        </w:tc>
        <w:tc>
          <w:tcPr>
            <w:tcW w:w="783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1459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F3FF6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Простроченість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&gt; 30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днів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&lt;= 90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днів</w:t>
            </w:r>
            <w:proofErr w:type="spellEnd"/>
          </w:p>
        </w:tc>
        <w:tc>
          <w:tcPr>
            <w:tcW w:w="1003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F3FF6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Експозиції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з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поступками</w:t>
            </w:r>
            <w:proofErr w:type="spellEnd"/>
          </w:p>
        </w:tc>
        <w:tc>
          <w:tcPr>
            <w:tcW w:w="783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1003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F3FF6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Експозиції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з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поступками</w:t>
            </w:r>
            <w:proofErr w:type="spellEnd"/>
          </w:p>
        </w:tc>
        <w:tc>
          <w:tcPr>
            <w:tcW w:w="783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1003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F3FF6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Експозиції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з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поступками</w:t>
            </w:r>
            <w:proofErr w:type="spellEnd"/>
          </w:p>
        </w:tc>
        <w:tc>
          <w:tcPr>
            <w:tcW w:w="1032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1295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F3FF6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Експозиції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з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поступками</w:t>
            </w:r>
            <w:proofErr w:type="spellEnd"/>
          </w:p>
        </w:tc>
        <w:tc>
          <w:tcPr>
            <w:tcW w:w="1709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Простроченість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&gt; 90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днів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&lt;= 180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днів</w:t>
            </w:r>
            <w:proofErr w:type="spellEnd"/>
          </w:p>
        </w:tc>
        <w:tc>
          <w:tcPr>
            <w:tcW w:w="1551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Простроченість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&gt; 180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днів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&lt;=1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рік</w:t>
            </w:r>
            <w:proofErr w:type="spellEnd"/>
          </w:p>
        </w:tc>
        <w:tc>
          <w:tcPr>
            <w:tcW w:w="1300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Простроченість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&gt; 1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рік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&lt;=2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роки</w:t>
            </w:r>
            <w:proofErr w:type="spellEnd"/>
          </w:p>
        </w:tc>
        <w:tc>
          <w:tcPr>
            <w:tcW w:w="1259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Простроченість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&gt; 2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роки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&lt;=5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років</w:t>
            </w:r>
            <w:proofErr w:type="spellEnd"/>
          </w:p>
        </w:tc>
        <w:tc>
          <w:tcPr>
            <w:tcW w:w="1217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Простроченість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&gt; 5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років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&lt;=7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років</w:t>
            </w:r>
            <w:proofErr w:type="spellEnd"/>
          </w:p>
        </w:tc>
        <w:tc>
          <w:tcPr>
            <w:tcW w:w="1034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Простроченість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&gt; 7</w:t>
            </w: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років</w:t>
            </w:r>
            <w:proofErr w:type="spellEnd"/>
          </w:p>
        </w:tc>
      </w:tr>
      <w:tr w:rsidR="00FF3FF6" w:rsidRPr="00FF3FF6" w:rsidTr="00FF3FF6">
        <w:trPr>
          <w:tblCellSpacing w:w="0" w:type="dxa"/>
          <w:jc w:val="center"/>
        </w:trPr>
        <w:tc>
          <w:tcPr>
            <w:tcW w:w="2265" w:type="dxa"/>
            <w:gridSpan w:val="2"/>
            <w:vMerge/>
          </w:tcPr>
          <w:p w:rsidR="00FF3FF6" w:rsidRPr="00FF3FF6" w:rsidRDefault="00FF3FF6" w:rsidP="00FF3FF6">
            <w:pPr>
              <w:jc w:val="center"/>
              <w:rPr>
                <w:rFonts w:ascii="Times New Roman" w:hAnsi="Times New Roman"/>
                <w:sz w:val="18"/>
                <w:lang w:bidi="ar"/>
              </w:rPr>
            </w:pPr>
          </w:p>
        </w:tc>
        <w:tc>
          <w:tcPr>
            <w:tcW w:w="1280" w:type="dxa"/>
            <w:vMerge/>
          </w:tcPr>
          <w:p w:rsidR="00FF3FF6" w:rsidRPr="00FF3FF6" w:rsidRDefault="00FF3FF6" w:rsidP="00FF3FF6">
            <w:pPr>
              <w:jc w:val="center"/>
              <w:rPr>
                <w:rFonts w:ascii="Times New Roman" w:hAnsi="Times New Roman"/>
                <w:sz w:val="18"/>
                <w:lang w:bidi="ar"/>
              </w:rPr>
            </w:pPr>
          </w:p>
        </w:tc>
        <w:tc>
          <w:tcPr>
            <w:tcW w:w="783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1.32</w:t>
            </w:r>
          </w:p>
        </w:tc>
        <w:tc>
          <w:tcPr>
            <w:tcW w:w="1003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2. 256, 259</w:t>
            </w:r>
            <w:r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263</w:t>
            </w:r>
          </w:p>
        </w:tc>
        <w:tc>
          <w:tcPr>
            <w:tcW w:w="783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2. 213</w:t>
            </w:r>
            <w:r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216, 226</w:t>
            </w:r>
            <w:r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239</w:t>
            </w:r>
          </w:p>
        </w:tc>
        <w:tc>
          <w:tcPr>
            <w:tcW w:w="1459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2. 222, 235</w:t>
            </w:r>
          </w:p>
        </w:tc>
        <w:tc>
          <w:tcPr>
            <w:tcW w:w="1003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2. 259</w:t>
            </w:r>
            <w:r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261</w:t>
            </w:r>
          </w:p>
        </w:tc>
        <w:tc>
          <w:tcPr>
            <w:tcW w:w="783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2. 213</w:t>
            </w:r>
            <w:r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216, 226</w:t>
            </w:r>
            <w:r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239</w:t>
            </w:r>
          </w:p>
        </w:tc>
        <w:tc>
          <w:tcPr>
            <w:tcW w:w="1003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2.256, 259</w:t>
            </w:r>
            <w:r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262</w:t>
            </w:r>
          </w:p>
        </w:tc>
        <w:tc>
          <w:tcPr>
            <w:tcW w:w="783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2.222, 235</w:t>
            </w:r>
            <w:r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236</w:t>
            </w:r>
          </w:p>
        </w:tc>
        <w:tc>
          <w:tcPr>
            <w:tcW w:w="1003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2.222, 235</w:t>
            </w:r>
            <w:r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236, 256, 259</w:t>
            </w:r>
            <w:r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262</w:t>
            </w:r>
          </w:p>
        </w:tc>
        <w:tc>
          <w:tcPr>
            <w:tcW w:w="1032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2.222, 235</w:t>
            </w:r>
            <w:r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236</w:t>
            </w:r>
          </w:p>
        </w:tc>
        <w:tc>
          <w:tcPr>
            <w:tcW w:w="1295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2.222, 235</w:t>
            </w:r>
            <w:r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236, 256, 259</w:t>
            </w:r>
            <w:r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262</w:t>
            </w:r>
          </w:p>
        </w:tc>
        <w:tc>
          <w:tcPr>
            <w:tcW w:w="1709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2.222, 235</w:t>
            </w:r>
            <w:r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236</w:t>
            </w:r>
          </w:p>
        </w:tc>
        <w:tc>
          <w:tcPr>
            <w:tcW w:w="1551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2.222, 235</w:t>
            </w:r>
            <w:r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236</w:t>
            </w:r>
          </w:p>
        </w:tc>
        <w:tc>
          <w:tcPr>
            <w:tcW w:w="1300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2.222, 235</w:t>
            </w:r>
            <w:r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236</w:t>
            </w:r>
          </w:p>
        </w:tc>
        <w:tc>
          <w:tcPr>
            <w:tcW w:w="1259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2.222, 235</w:t>
            </w:r>
            <w:r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236</w:t>
            </w:r>
          </w:p>
        </w:tc>
        <w:tc>
          <w:tcPr>
            <w:tcW w:w="1217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2.222, 235</w:t>
            </w:r>
            <w:r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236</w:t>
            </w:r>
          </w:p>
        </w:tc>
        <w:tc>
          <w:tcPr>
            <w:tcW w:w="1034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2.222, 235</w:t>
            </w:r>
            <w:r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236</w:t>
            </w:r>
          </w:p>
        </w:tc>
      </w:tr>
      <w:tr w:rsidR="00FF3FF6" w:rsidRPr="00FF3FF6" w:rsidTr="00FF3FF6">
        <w:trPr>
          <w:tblCellSpacing w:w="0" w:type="dxa"/>
          <w:jc w:val="center"/>
        </w:trPr>
        <w:tc>
          <w:tcPr>
            <w:tcW w:w="2265" w:type="dxa"/>
            <w:gridSpan w:val="2"/>
            <w:vMerge/>
          </w:tcPr>
          <w:p w:rsidR="00FF3FF6" w:rsidRPr="00FF3FF6" w:rsidRDefault="00FF3FF6" w:rsidP="00FF3FF6">
            <w:pPr>
              <w:jc w:val="center"/>
              <w:rPr>
                <w:rFonts w:ascii="Times New Roman" w:hAnsi="Times New Roman"/>
                <w:sz w:val="18"/>
                <w:lang w:bidi="ar"/>
              </w:rPr>
            </w:pPr>
          </w:p>
        </w:tc>
        <w:tc>
          <w:tcPr>
            <w:tcW w:w="1280" w:type="dxa"/>
            <w:vMerge/>
          </w:tcPr>
          <w:p w:rsidR="00FF3FF6" w:rsidRPr="00FF3FF6" w:rsidRDefault="00FF3FF6" w:rsidP="00FF3FF6">
            <w:pPr>
              <w:jc w:val="center"/>
              <w:rPr>
                <w:rFonts w:ascii="Times New Roman" w:hAnsi="Times New Roman"/>
                <w:sz w:val="18"/>
                <w:lang w:bidi="ar"/>
              </w:rPr>
            </w:pPr>
          </w:p>
        </w:tc>
        <w:tc>
          <w:tcPr>
            <w:tcW w:w="783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F3FF6">
              <w:rPr>
                <w:rFonts w:ascii="Times New Roman" w:hAnsi="Times New Roman"/>
                <w:sz w:val="18"/>
                <w:lang w:bidi="ar"/>
              </w:rPr>
              <w:t>0010</w:t>
            </w:r>
          </w:p>
        </w:tc>
        <w:tc>
          <w:tcPr>
            <w:tcW w:w="1003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F3FF6">
              <w:rPr>
                <w:rFonts w:ascii="Times New Roman" w:hAnsi="Times New Roman"/>
                <w:sz w:val="18"/>
                <w:lang w:bidi="ar"/>
              </w:rPr>
              <w:t>0020</w:t>
            </w:r>
          </w:p>
        </w:tc>
        <w:tc>
          <w:tcPr>
            <w:tcW w:w="783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F3FF6">
              <w:rPr>
                <w:rFonts w:ascii="Times New Roman" w:hAnsi="Times New Roman"/>
                <w:sz w:val="18"/>
                <w:lang w:bidi="ar"/>
              </w:rPr>
              <w:t>0030</w:t>
            </w:r>
          </w:p>
        </w:tc>
        <w:tc>
          <w:tcPr>
            <w:tcW w:w="1459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F3FF6">
              <w:rPr>
                <w:rFonts w:ascii="Times New Roman" w:hAnsi="Times New Roman"/>
                <w:sz w:val="18"/>
                <w:lang w:bidi="ar"/>
              </w:rPr>
              <w:t>0040</w:t>
            </w:r>
          </w:p>
        </w:tc>
        <w:tc>
          <w:tcPr>
            <w:tcW w:w="1003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F3FF6">
              <w:rPr>
                <w:rFonts w:ascii="Times New Roman" w:hAnsi="Times New Roman"/>
                <w:sz w:val="18"/>
                <w:lang w:bidi="ar"/>
              </w:rPr>
              <w:t>0050</w:t>
            </w:r>
          </w:p>
        </w:tc>
        <w:tc>
          <w:tcPr>
            <w:tcW w:w="783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F3FF6">
              <w:rPr>
                <w:rFonts w:ascii="Times New Roman" w:hAnsi="Times New Roman"/>
                <w:sz w:val="18"/>
                <w:lang w:bidi="ar"/>
              </w:rPr>
              <w:t>0060</w:t>
            </w:r>
          </w:p>
        </w:tc>
        <w:tc>
          <w:tcPr>
            <w:tcW w:w="1003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F3FF6">
              <w:rPr>
                <w:rFonts w:ascii="Times New Roman" w:hAnsi="Times New Roman"/>
                <w:sz w:val="18"/>
                <w:lang w:bidi="ar"/>
              </w:rPr>
              <w:t>0070</w:t>
            </w:r>
          </w:p>
        </w:tc>
        <w:tc>
          <w:tcPr>
            <w:tcW w:w="783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F3FF6">
              <w:rPr>
                <w:rFonts w:ascii="Times New Roman" w:hAnsi="Times New Roman"/>
                <w:sz w:val="18"/>
                <w:lang w:bidi="ar"/>
              </w:rPr>
              <w:t>0080</w:t>
            </w:r>
          </w:p>
        </w:tc>
        <w:tc>
          <w:tcPr>
            <w:tcW w:w="1003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F3FF6">
              <w:rPr>
                <w:rFonts w:ascii="Times New Roman" w:hAnsi="Times New Roman"/>
                <w:sz w:val="18"/>
                <w:lang w:bidi="ar"/>
              </w:rPr>
              <w:t>0090</w:t>
            </w:r>
          </w:p>
        </w:tc>
        <w:tc>
          <w:tcPr>
            <w:tcW w:w="1032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F3FF6">
              <w:rPr>
                <w:rFonts w:ascii="Times New Roman" w:hAnsi="Times New Roman"/>
                <w:sz w:val="18"/>
                <w:lang w:bidi="ar"/>
              </w:rPr>
              <w:t>0100</w:t>
            </w:r>
          </w:p>
        </w:tc>
        <w:tc>
          <w:tcPr>
            <w:tcW w:w="1295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F3FF6">
              <w:rPr>
                <w:rFonts w:ascii="Times New Roman" w:hAnsi="Times New Roman"/>
                <w:sz w:val="18"/>
                <w:lang w:bidi="ar"/>
              </w:rPr>
              <w:t>0110</w:t>
            </w:r>
          </w:p>
        </w:tc>
        <w:tc>
          <w:tcPr>
            <w:tcW w:w="1709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F3FF6">
              <w:rPr>
                <w:rFonts w:ascii="Times New Roman" w:hAnsi="Times New Roman"/>
                <w:sz w:val="18"/>
                <w:lang w:bidi="ar"/>
              </w:rPr>
              <w:t>0120</w:t>
            </w:r>
          </w:p>
        </w:tc>
        <w:tc>
          <w:tcPr>
            <w:tcW w:w="1551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F3FF6">
              <w:rPr>
                <w:rFonts w:ascii="Times New Roman" w:hAnsi="Times New Roman"/>
                <w:sz w:val="18"/>
                <w:lang w:bidi="ar"/>
              </w:rPr>
              <w:t>0130</w:t>
            </w:r>
          </w:p>
        </w:tc>
        <w:tc>
          <w:tcPr>
            <w:tcW w:w="1300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F3FF6">
              <w:rPr>
                <w:rFonts w:ascii="Times New Roman" w:hAnsi="Times New Roman"/>
                <w:sz w:val="18"/>
                <w:lang w:bidi="ar"/>
              </w:rPr>
              <w:t>0140</w:t>
            </w:r>
          </w:p>
        </w:tc>
        <w:tc>
          <w:tcPr>
            <w:tcW w:w="1259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F3FF6">
              <w:rPr>
                <w:rFonts w:ascii="Times New Roman" w:hAnsi="Times New Roman"/>
                <w:sz w:val="18"/>
                <w:lang w:bidi="ar"/>
              </w:rPr>
              <w:t>0150</w:t>
            </w:r>
          </w:p>
        </w:tc>
        <w:tc>
          <w:tcPr>
            <w:tcW w:w="1217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F3FF6">
              <w:rPr>
                <w:rFonts w:ascii="Times New Roman" w:hAnsi="Times New Roman"/>
                <w:sz w:val="18"/>
                <w:lang w:bidi="ar"/>
              </w:rPr>
              <w:t>0160</w:t>
            </w:r>
          </w:p>
        </w:tc>
        <w:tc>
          <w:tcPr>
            <w:tcW w:w="1034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F3FF6">
              <w:rPr>
                <w:rFonts w:ascii="Times New Roman" w:hAnsi="Times New Roman"/>
                <w:sz w:val="18"/>
                <w:lang w:bidi="ar"/>
              </w:rPr>
              <w:t>0170</w:t>
            </w:r>
          </w:p>
        </w:tc>
      </w:tr>
      <w:tr w:rsidR="00FF3FF6" w:rsidRPr="00FF3FF6" w:rsidTr="00FF3FF6">
        <w:trPr>
          <w:tblCellSpacing w:w="0" w:type="dxa"/>
          <w:jc w:val="center"/>
        </w:trPr>
        <w:tc>
          <w:tcPr>
            <w:tcW w:w="564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F3FF6">
              <w:rPr>
                <w:rFonts w:ascii="Times New Roman" w:hAnsi="Times New Roman"/>
                <w:sz w:val="18"/>
                <w:lang w:bidi="ar"/>
              </w:rPr>
              <w:t>0010</w:t>
            </w:r>
          </w:p>
        </w:tc>
        <w:tc>
          <w:tcPr>
            <w:tcW w:w="1701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b/>
                <w:sz w:val="18"/>
                <w:lang w:bidi="ar"/>
              </w:rPr>
            </w:pPr>
            <w:proofErr w:type="spellStart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>Позики</w:t>
            </w:r>
            <w:proofErr w:type="spellEnd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>та</w:t>
            </w:r>
            <w:proofErr w:type="spellEnd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>аванс</w:t>
            </w:r>
            <w:r>
              <w:rPr>
                <w:rFonts w:ascii="Times New Roman" w:hAnsi="Times New Roman"/>
                <w:b/>
                <w:sz w:val="18"/>
                <w:lang w:bidi="ar"/>
              </w:rPr>
              <w:t>и</w:t>
            </w:r>
            <w:proofErr w:type="spellEnd"/>
            <w:r>
              <w:rPr>
                <w:rFonts w:ascii="Times New Roman" w:hAnsi="Times New Roman"/>
                <w:b/>
                <w:sz w:val="18"/>
                <w:lang w:bidi="a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18"/>
                <w:lang w:bidi="ar"/>
              </w:rPr>
              <w:t>забезпечені</w:t>
            </w:r>
            <w:proofErr w:type="spellEnd"/>
            <w:r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lang w:bidi="ar"/>
              </w:rPr>
              <w:t>нерухомим</w:t>
            </w:r>
            <w:proofErr w:type="spellEnd"/>
            <w:r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lang w:bidi="ar"/>
              </w:rPr>
              <w:t>майном</w:t>
            </w:r>
            <w:proofErr w:type="spellEnd"/>
          </w:p>
        </w:tc>
        <w:tc>
          <w:tcPr>
            <w:tcW w:w="1280" w:type="dxa"/>
          </w:tcPr>
          <w:p w:rsidR="00FF3FF6" w:rsidRPr="00FF3FF6" w:rsidRDefault="00FF3FF6" w:rsidP="00FF3FF6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1.32, 44(a), </w:t>
            </w: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2.86(a), 87, 319</w:t>
            </w:r>
          </w:p>
        </w:tc>
        <w:tc>
          <w:tcPr>
            <w:tcW w:w="78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8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59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8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8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32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295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709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551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300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259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217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34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  <w:tr w:rsidR="00FF3FF6" w:rsidRPr="00FF3FF6" w:rsidTr="00FF3FF6">
        <w:trPr>
          <w:tblCellSpacing w:w="0" w:type="dxa"/>
          <w:jc w:val="center"/>
        </w:trPr>
        <w:tc>
          <w:tcPr>
            <w:tcW w:w="564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F3FF6">
              <w:rPr>
                <w:rFonts w:ascii="Times New Roman" w:hAnsi="Times New Roman"/>
                <w:sz w:val="18"/>
                <w:lang w:bidi="ar"/>
              </w:rPr>
              <w:t>0020</w:t>
            </w:r>
          </w:p>
        </w:tc>
        <w:tc>
          <w:tcPr>
            <w:tcW w:w="1701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r w:rsidRPr="00FF3FF6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Позики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зі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співвідношенням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суми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позики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та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вартості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забезпечення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більше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60%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та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менше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або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на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рівні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80</w:t>
            </w:r>
            <w:r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r w:rsidRPr="00FF3FF6">
              <w:rPr>
                <w:rFonts w:ascii="Times New Roman" w:hAnsi="Times New Roman"/>
                <w:sz w:val="18"/>
                <w:lang w:bidi="ar"/>
              </w:rPr>
              <w:t>%</w:t>
            </w:r>
          </w:p>
        </w:tc>
        <w:tc>
          <w:tcPr>
            <w:tcW w:w="1280" w:type="dxa"/>
          </w:tcPr>
          <w:p w:rsidR="00FF3FF6" w:rsidRPr="00FF3FF6" w:rsidRDefault="00FF3FF6" w:rsidP="00FF3FF6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2.239x, 325</w:t>
            </w:r>
          </w:p>
        </w:tc>
        <w:tc>
          <w:tcPr>
            <w:tcW w:w="78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8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59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8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8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32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295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709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551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300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259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217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34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  <w:tr w:rsidR="00FF3FF6" w:rsidRPr="00FF3FF6" w:rsidTr="00FF3FF6">
        <w:trPr>
          <w:tblCellSpacing w:w="0" w:type="dxa"/>
          <w:jc w:val="center"/>
        </w:trPr>
        <w:tc>
          <w:tcPr>
            <w:tcW w:w="564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F3FF6">
              <w:rPr>
                <w:rFonts w:ascii="Times New Roman" w:hAnsi="Times New Roman"/>
                <w:sz w:val="18"/>
                <w:lang w:bidi="ar"/>
              </w:rPr>
              <w:t>0030</w:t>
            </w:r>
          </w:p>
        </w:tc>
        <w:tc>
          <w:tcPr>
            <w:tcW w:w="1701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r w:rsidRPr="00FF3FF6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Позики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зі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співвідношенням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суми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позики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та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вартості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забезпечення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більше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80%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та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менше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або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на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рівні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100</w:t>
            </w:r>
            <w:r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r w:rsidRPr="00FF3FF6">
              <w:rPr>
                <w:rFonts w:ascii="Times New Roman" w:hAnsi="Times New Roman"/>
                <w:sz w:val="18"/>
                <w:lang w:bidi="ar"/>
              </w:rPr>
              <w:t>%</w:t>
            </w:r>
          </w:p>
        </w:tc>
        <w:tc>
          <w:tcPr>
            <w:tcW w:w="1280" w:type="dxa"/>
          </w:tcPr>
          <w:p w:rsidR="00FF3FF6" w:rsidRPr="00FF3FF6" w:rsidRDefault="00FF3FF6" w:rsidP="00FF3FF6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2.239x, 325</w:t>
            </w:r>
          </w:p>
        </w:tc>
        <w:tc>
          <w:tcPr>
            <w:tcW w:w="78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8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59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8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8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32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295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709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551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300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259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217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34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  <w:tr w:rsidR="00FF3FF6" w:rsidRPr="00FF3FF6" w:rsidTr="00FF3FF6">
        <w:trPr>
          <w:tblCellSpacing w:w="0" w:type="dxa"/>
          <w:jc w:val="center"/>
        </w:trPr>
        <w:tc>
          <w:tcPr>
            <w:tcW w:w="564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F3FF6">
              <w:rPr>
                <w:rFonts w:ascii="Times New Roman" w:hAnsi="Times New Roman"/>
                <w:sz w:val="18"/>
                <w:lang w:bidi="ar"/>
              </w:rPr>
              <w:t>0040</w:t>
            </w:r>
          </w:p>
        </w:tc>
        <w:tc>
          <w:tcPr>
            <w:tcW w:w="1701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r w:rsidRPr="00FF3FF6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Позики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зі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співвідношенням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суми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позики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та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вартості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забезпечення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більше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100</w:t>
            </w:r>
            <w:r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r w:rsidRPr="00FF3FF6">
              <w:rPr>
                <w:rFonts w:ascii="Times New Roman" w:hAnsi="Times New Roman"/>
                <w:sz w:val="18"/>
                <w:lang w:bidi="ar"/>
              </w:rPr>
              <w:t>%</w:t>
            </w:r>
          </w:p>
        </w:tc>
        <w:tc>
          <w:tcPr>
            <w:tcW w:w="1280" w:type="dxa"/>
          </w:tcPr>
          <w:p w:rsidR="00FF3FF6" w:rsidRPr="00FF3FF6" w:rsidRDefault="00FF3FF6" w:rsidP="00FF3FF6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2.239x, 325</w:t>
            </w:r>
          </w:p>
        </w:tc>
        <w:tc>
          <w:tcPr>
            <w:tcW w:w="78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8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59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8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8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32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295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709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551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300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259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217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34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  <w:tr w:rsidR="00FF3FF6" w:rsidRPr="00FF3FF6" w:rsidTr="00FF3FF6">
        <w:trPr>
          <w:tblCellSpacing w:w="0" w:type="dxa"/>
          <w:jc w:val="center"/>
        </w:trPr>
        <w:tc>
          <w:tcPr>
            <w:tcW w:w="564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F3FF6">
              <w:rPr>
                <w:rFonts w:ascii="Times New Roman" w:hAnsi="Times New Roman"/>
                <w:sz w:val="18"/>
                <w:lang w:bidi="ar"/>
              </w:rPr>
              <w:t>0050</w:t>
            </w:r>
          </w:p>
        </w:tc>
        <w:tc>
          <w:tcPr>
            <w:tcW w:w="1701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b/>
                <w:sz w:val="18"/>
                <w:lang w:bidi="ar"/>
              </w:rPr>
            </w:pPr>
            <w:proofErr w:type="spellStart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>Позики</w:t>
            </w:r>
            <w:proofErr w:type="spellEnd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>та</w:t>
            </w:r>
            <w:proofErr w:type="spellEnd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>аванси</w:t>
            </w:r>
            <w:proofErr w:type="spellEnd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>для</w:t>
            </w:r>
            <w:proofErr w:type="spellEnd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>середніх</w:t>
            </w:r>
            <w:proofErr w:type="spellEnd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>підприємств</w:t>
            </w:r>
            <w:proofErr w:type="spellEnd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 xml:space="preserve"> (НФК), </w:t>
            </w:r>
            <w:proofErr w:type="spellStart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>забезпечені</w:t>
            </w:r>
            <w:proofErr w:type="spellEnd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>комерційним</w:t>
            </w:r>
            <w:proofErr w:type="spellEnd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>нерухо</w:t>
            </w:r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>мим</w:t>
            </w:r>
            <w:proofErr w:type="spellEnd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>майном</w:t>
            </w:r>
            <w:proofErr w:type="spellEnd"/>
          </w:p>
        </w:tc>
        <w:tc>
          <w:tcPr>
            <w:tcW w:w="1280" w:type="dxa"/>
          </w:tcPr>
          <w:p w:rsidR="00FF3FF6" w:rsidRPr="00FF3FF6" w:rsidRDefault="00FF3FF6" w:rsidP="00FF3FF6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1.32, 42(e), 44(a), </w:t>
            </w: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2.86(a), 87, 319; МСП </w:t>
            </w: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стаття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1 2(a)</w:t>
            </w:r>
          </w:p>
        </w:tc>
        <w:tc>
          <w:tcPr>
            <w:tcW w:w="78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8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59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8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8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32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295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709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551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300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259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217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34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  <w:tr w:rsidR="00FF3FF6" w:rsidRPr="00FF3FF6" w:rsidTr="00FF3FF6">
        <w:trPr>
          <w:tblCellSpacing w:w="0" w:type="dxa"/>
          <w:jc w:val="center"/>
        </w:trPr>
        <w:tc>
          <w:tcPr>
            <w:tcW w:w="564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F3FF6">
              <w:rPr>
                <w:rFonts w:ascii="Times New Roman" w:hAnsi="Times New Roman"/>
                <w:sz w:val="18"/>
                <w:lang w:bidi="ar"/>
              </w:rPr>
              <w:t>0060</w:t>
            </w:r>
          </w:p>
        </w:tc>
        <w:tc>
          <w:tcPr>
            <w:tcW w:w="1701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r w:rsidRPr="00FF3FF6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Позики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зі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співвідношенням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суми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позики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та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вартості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забезпечення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більше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60</w:t>
            </w:r>
            <w:r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r w:rsidRPr="00FF3FF6">
              <w:rPr>
                <w:rFonts w:ascii="Times New Roman" w:hAnsi="Times New Roman"/>
                <w:sz w:val="18"/>
                <w:lang w:bidi="ar"/>
              </w:rPr>
              <w:t xml:space="preserve">%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та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менше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або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на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рівні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80</w:t>
            </w:r>
            <w:r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r w:rsidRPr="00FF3FF6">
              <w:rPr>
                <w:rFonts w:ascii="Times New Roman" w:hAnsi="Times New Roman"/>
                <w:sz w:val="18"/>
                <w:lang w:bidi="ar"/>
              </w:rPr>
              <w:t>%</w:t>
            </w:r>
          </w:p>
        </w:tc>
        <w:tc>
          <w:tcPr>
            <w:tcW w:w="1280" w:type="dxa"/>
          </w:tcPr>
          <w:p w:rsidR="00FF3FF6" w:rsidRPr="00FF3FF6" w:rsidRDefault="00FF3FF6" w:rsidP="00FF3FF6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2.239x, 325</w:t>
            </w:r>
          </w:p>
        </w:tc>
        <w:tc>
          <w:tcPr>
            <w:tcW w:w="78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8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59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8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8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32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295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709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551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300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259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217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34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  <w:tr w:rsidR="00FF3FF6" w:rsidRPr="00FF3FF6" w:rsidTr="00FF3FF6">
        <w:trPr>
          <w:tblCellSpacing w:w="0" w:type="dxa"/>
          <w:jc w:val="center"/>
        </w:trPr>
        <w:tc>
          <w:tcPr>
            <w:tcW w:w="564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F3FF6">
              <w:rPr>
                <w:rFonts w:ascii="Times New Roman" w:hAnsi="Times New Roman"/>
                <w:sz w:val="18"/>
                <w:lang w:bidi="ar"/>
              </w:rPr>
              <w:lastRenderedPageBreak/>
              <w:t>0070</w:t>
            </w:r>
          </w:p>
        </w:tc>
        <w:tc>
          <w:tcPr>
            <w:tcW w:w="1701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r w:rsidRPr="00FF3FF6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Позики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зі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співвідношенням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суми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позики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та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вартості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забезпечення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більше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80</w:t>
            </w:r>
            <w:r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r w:rsidRPr="00FF3FF6">
              <w:rPr>
                <w:rFonts w:ascii="Times New Roman" w:hAnsi="Times New Roman"/>
                <w:sz w:val="18"/>
                <w:lang w:bidi="ar"/>
              </w:rPr>
              <w:t xml:space="preserve">%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та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менше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або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на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рівні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100</w:t>
            </w:r>
            <w:r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r w:rsidRPr="00FF3FF6">
              <w:rPr>
                <w:rFonts w:ascii="Times New Roman" w:hAnsi="Times New Roman"/>
                <w:sz w:val="18"/>
                <w:lang w:bidi="ar"/>
              </w:rPr>
              <w:t>%</w:t>
            </w:r>
          </w:p>
        </w:tc>
        <w:tc>
          <w:tcPr>
            <w:tcW w:w="1280" w:type="dxa"/>
          </w:tcPr>
          <w:p w:rsidR="00FF3FF6" w:rsidRPr="00FF3FF6" w:rsidRDefault="00FF3FF6" w:rsidP="00FF3FF6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2.239x, 325</w:t>
            </w:r>
          </w:p>
        </w:tc>
        <w:tc>
          <w:tcPr>
            <w:tcW w:w="78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8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59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8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8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32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295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709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551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300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259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217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34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  <w:tr w:rsidR="00FF3FF6" w:rsidRPr="00FF3FF6" w:rsidTr="00FF3FF6">
        <w:trPr>
          <w:tblCellSpacing w:w="0" w:type="dxa"/>
          <w:jc w:val="center"/>
        </w:trPr>
        <w:tc>
          <w:tcPr>
            <w:tcW w:w="564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F3FF6">
              <w:rPr>
                <w:rFonts w:ascii="Times New Roman" w:hAnsi="Times New Roman"/>
                <w:sz w:val="18"/>
                <w:lang w:bidi="ar"/>
              </w:rPr>
              <w:t>0080</w:t>
            </w:r>
          </w:p>
        </w:tc>
        <w:tc>
          <w:tcPr>
            <w:tcW w:w="1701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r w:rsidRPr="00FF3FF6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Позики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зі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співвідношенням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суми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позики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та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вартості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забезпечення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більше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100</w:t>
            </w:r>
            <w:r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r w:rsidRPr="00FF3FF6">
              <w:rPr>
                <w:rFonts w:ascii="Times New Roman" w:hAnsi="Times New Roman"/>
                <w:sz w:val="18"/>
                <w:lang w:bidi="ar"/>
              </w:rPr>
              <w:t>%</w:t>
            </w:r>
          </w:p>
        </w:tc>
        <w:tc>
          <w:tcPr>
            <w:tcW w:w="1280" w:type="dxa"/>
          </w:tcPr>
          <w:p w:rsidR="00FF3FF6" w:rsidRPr="00FF3FF6" w:rsidRDefault="00FF3FF6" w:rsidP="00FF3FF6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2.239x, 325</w:t>
            </w:r>
          </w:p>
        </w:tc>
        <w:tc>
          <w:tcPr>
            <w:tcW w:w="78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8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59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8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8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32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295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709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551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300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259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217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34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  <w:tr w:rsidR="00FF3FF6" w:rsidRPr="00FF3FF6" w:rsidTr="00FF3FF6">
        <w:trPr>
          <w:tblCellSpacing w:w="0" w:type="dxa"/>
          <w:jc w:val="center"/>
        </w:trPr>
        <w:tc>
          <w:tcPr>
            <w:tcW w:w="564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F3FF6">
              <w:rPr>
                <w:rFonts w:ascii="Times New Roman" w:hAnsi="Times New Roman"/>
                <w:sz w:val="18"/>
                <w:lang w:bidi="ar"/>
              </w:rPr>
              <w:t>0090</w:t>
            </w:r>
          </w:p>
        </w:tc>
        <w:tc>
          <w:tcPr>
            <w:tcW w:w="1701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b/>
                <w:sz w:val="18"/>
                <w:lang w:bidi="ar"/>
              </w:rPr>
            </w:pPr>
            <w:proofErr w:type="spellStart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>Позики</w:t>
            </w:r>
            <w:proofErr w:type="spellEnd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>та</w:t>
            </w:r>
            <w:proofErr w:type="spellEnd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>аванси</w:t>
            </w:r>
            <w:proofErr w:type="spellEnd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>для</w:t>
            </w:r>
            <w:proofErr w:type="spellEnd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>нефінансових</w:t>
            </w:r>
            <w:proofErr w:type="spellEnd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>корпорацій</w:t>
            </w:r>
            <w:proofErr w:type="spellEnd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 xml:space="preserve"> (НФК), </w:t>
            </w:r>
            <w:proofErr w:type="spellStart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>крім</w:t>
            </w:r>
            <w:proofErr w:type="spellEnd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 xml:space="preserve"> МСП, </w:t>
            </w:r>
            <w:proofErr w:type="spellStart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>забезпечені</w:t>
            </w:r>
            <w:proofErr w:type="spellEnd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>комерційним</w:t>
            </w:r>
            <w:proofErr w:type="spellEnd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>нерухомим</w:t>
            </w:r>
            <w:proofErr w:type="spellEnd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>ма</w:t>
            </w:r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>йном</w:t>
            </w:r>
            <w:proofErr w:type="spellEnd"/>
          </w:p>
        </w:tc>
        <w:tc>
          <w:tcPr>
            <w:tcW w:w="1280" w:type="dxa"/>
          </w:tcPr>
          <w:p w:rsidR="00FF3FF6" w:rsidRPr="00FF3FF6" w:rsidRDefault="00FF3FF6" w:rsidP="00FF3FF6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1.32, 42(e), 44(a), </w:t>
            </w: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2.86(a), 87, 319; МСП </w:t>
            </w: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стаття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1 2(a)</w:t>
            </w:r>
          </w:p>
        </w:tc>
        <w:tc>
          <w:tcPr>
            <w:tcW w:w="78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8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59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8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8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32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295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709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551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300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259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217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34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  <w:tr w:rsidR="00FF3FF6" w:rsidRPr="00FF3FF6" w:rsidTr="00FF3FF6">
        <w:trPr>
          <w:tblCellSpacing w:w="0" w:type="dxa"/>
          <w:jc w:val="center"/>
        </w:trPr>
        <w:tc>
          <w:tcPr>
            <w:tcW w:w="564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F3FF6">
              <w:rPr>
                <w:rFonts w:ascii="Times New Roman" w:hAnsi="Times New Roman"/>
                <w:sz w:val="18"/>
                <w:lang w:bidi="ar"/>
              </w:rPr>
              <w:t>0100</w:t>
            </w:r>
          </w:p>
        </w:tc>
        <w:tc>
          <w:tcPr>
            <w:tcW w:w="1701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r w:rsidRPr="00FF3FF6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Позики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зі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співвідношенням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суми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позики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та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вартості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забезпечення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більше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60</w:t>
            </w:r>
            <w:r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r w:rsidRPr="00FF3FF6">
              <w:rPr>
                <w:rFonts w:ascii="Times New Roman" w:hAnsi="Times New Roman"/>
                <w:sz w:val="18"/>
                <w:lang w:bidi="ar"/>
              </w:rPr>
              <w:t xml:space="preserve">%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та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менше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або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на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рівні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80</w:t>
            </w:r>
            <w:r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r w:rsidRPr="00FF3FF6">
              <w:rPr>
                <w:rFonts w:ascii="Times New Roman" w:hAnsi="Times New Roman"/>
                <w:sz w:val="18"/>
                <w:lang w:bidi="ar"/>
              </w:rPr>
              <w:t>%</w:t>
            </w:r>
          </w:p>
        </w:tc>
        <w:tc>
          <w:tcPr>
            <w:tcW w:w="1280" w:type="dxa"/>
          </w:tcPr>
          <w:p w:rsidR="00FF3FF6" w:rsidRPr="00FF3FF6" w:rsidRDefault="00FF3FF6" w:rsidP="00FF3FF6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2.239x, 325</w:t>
            </w:r>
          </w:p>
        </w:tc>
        <w:tc>
          <w:tcPr>
            <w:tcW w:w="78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8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59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8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8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32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295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709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551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300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259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217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34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  <w:tr w:rsidR="00FF3FF6" w:rsidRPr="00FF3FF6" w:rsidTr="00FF3FF6">
        <w:trPr>
          <w:tblCellSpacing w:w="0" w:type="dxa"/>
          <w:jc w:val="center"/>
        </w:trPr>
        <w:tc>
          <w:tcPr>
            <w:tcW w:w="564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F3FF6">
              <w:rPr>
                <w:rFonts w:ascii="Times New Roman" w:hAnsi="Times New Roman"/>
                <w:sz w:val="18"/>
                <w:lang w:bidi="ar"/>
              </w:rPr>
              <w:t>0110</w:t>
            </w:r>
          </w:p>
        </w:tc>
        <w:tc>
          <w:tcPr>
            <w:tcW w:w="1701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r w:rsidRPr="00FF3FF6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Позики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зі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співвідношенням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суми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позики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та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вартості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забезпечення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більше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80</w:t>
            </w:r>
            <w:r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r w:rsidRPr="00FF3FF6">
              <w:rPr>
                <w:rFonts w:ascii="Times New Roman" w:hAnsi="Times New Roman"/>
                <w:sz w:val="18"/>
                <w:lang w:bidi="ar"/>
              </w:rPr>
              <w:t xml:space="preserve">%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та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менше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або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на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рівні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100</w:t>
            </w:r>
            <w:r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r w:rsidRPr="00FF3FF6">
              <w:rPr>
                <w:rFonts w:ascii="Times New Roman" w:hAnsi="Times New Roman"/>
                <w:sz w:val="18"/>
                <w:lang w:bidi="ar"/>
              </w:rPr>
              <w:t>%</w:t>
            </w:r>
          </w:p>
        </w:tc>
        <w:tc>
          <w:tcPr>
            <w:tcW w:w="1280" w:type="dxa"/>
          </w:tcPr>
          <w:p w:rsidR="00FF3FF6" w:rsidRPr="00FF3FF6" w:rsidRDefault="00FF3FF6" w:rsidP="00FF3FF6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2.239x, 325</w:t>
            </w:r>
          </w:p>
        </w:tc>
        <w:tc>
          <w:tcPr>
            <w:tcW w:w="78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8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59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8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8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32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295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709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551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300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259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217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34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  <w:tr w:rsidR="00FF3FF6" w:rsidRPr="00FF3FF6" w:rsidTr="00FF3FF6">
        <w:trPr>
          <w:tblCellSpacing w:w="0" w:type="dxa"/>
          <w:jc w:val="center"/>
        </w:trPr>
        <w:tc>
          <w:tcPr>
            <w:tcW w:w="564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F3FF6">
              <w:rPr>
                <w:rFonts w:ascii="Times New Roman" w:hAnsi="Times New Roman"/>
                <w:sz w:val="18"/>
                <w:lang w:bidi="ar"/>
              </w:rPr>
              <w:t>0120</w:t>
            </w:r>
          </w:p>
        </w:tc>
        <w:tc>
          <w:tcPr>
            <w:tcW w:w="1701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r w:rsidRPr="00FF3FF6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Позики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зі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співвідношенням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суми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позики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та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вартості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забезпечення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більше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100</w:t>
            </w:r>
            <w:r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r w:rsidRPr="00FF3FF6">
              <w:rPr>
                <w:rFonts w:ascii="Times New Roman" w:hAnsi="Times New Roman"/>
                <w:sz w:val="18"/>
                <w:lang w:bidi="ar"/>
              </w:rPr>
              <w:t>%</w:t>
            </w:r>
          </w:p>
        </w:tc>
        <w:tc>
          <w:tcPr>
            <w:tcW w:w="1280" w:type="dxa"/>
          </w:tcPr>
          <w:p w:rsidR="00FF3FF6" w:rsidRPr="00FF3FF6" w:rsidRDefault="00FF3FF6" w:rsidP="00FF3FF6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2.239x, 325</w:t>
            </w:r>
          </w:p>
        </w:tc>
        <w:tc>
          <w:tcPr>
            <w:tcW w:w="78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8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59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8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8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32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295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709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551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300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259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217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34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  <w:tr w:rsidR="00FF3FF6" w:rsidRPr="00FF3FF6" w:rsidTr="00FF3FF6">
        <w:trPr>
          <w:tblCellSpacing w:w="0" w:type="dxa"/>
          <w:jc w:val="center"/>
        </w:trPr>
        <w:tc>
          <w:tcPr>
            <w:tcW w:w="564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F3FF6">
              <w:rPr>
                <w:rFonts w:ascii="Times New Roman" w:hAnsi="Times New Roman"/>
                <w:sz w:val="18"/>
                <w:lang w:bidi="ar"/>
              </w:rPr>
              <w:t>0130</w:t>
            </w:r>
          </w:p>
        </w:tc>
        <w:tc>
          <w:tcPr>
            <w:tcW w:w="1701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b/>
                <w:sz w:val="18"/>
                <w:lang w:bidi="ar"/>
              </w:rPr>
            </w:pPr>
            <w:proofErr w:type="spellStart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>Позики</w:t>
            </w:r>
            <w:proofErr w:type="spellEnd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>під</w:t>
            </w:r>
            <w:proofErr w:type="spellEnd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>заставу</w:t>
            </w:r>
            <w:proofErr w:type="spellEnd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>комерційної</w:t>
            </w:r>
            <w:proofErr w:type="spellEnd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>нерухомості</w:t>
            </w:r>
            <w:proofErr w:type="spellEnd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>для</w:t>
            </w:r>
            <w:proofErr w:type="spellEnd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>малих</w:t>
            </w:r>
            <w:proofErr w:type="spellEnd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 xml:space="preserve"> і </w:t>
            </w:r>
            <w:proofErr w:type="spellStart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>середніх</w:t>
            </w:r>
            <w:proofErr w:type="spellEnd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>підприємств</w:t>
            </w:r>
            <w:proofErr w:type="spellEnd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 xml:space="preserve"> (НФК), </w:t>
            </w:r>
            <w:proofErr w:type="spellStart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>забезпечені</w:t>
            </w:r>
            <w:proofErr w:type="spellEnd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>нерухомим</w:t>
            </w:r>
            <w:proofErr w:type="spellEnd"/>
            <w:r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lang w:bidi="ar"/>
              </w:rPr>
              <w:t>майном</w:t>
            </w:r>
            <w:proofErr w:type="spellEnd"/>
          </w:p>
        </w:tc>
        <w:tc>
          <w:tcPr>
            <w:tcW w:w="1280" w:type="dxa"/>
          </w:tcPr>
          <w:p w:rsidR="00FF3FF6" w:rsidRPr="00FF3FF6" w:rsidRDefault="00FF3FF6" w:rsidP="00FF3FF6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1.32, 42(e), 44(a), </w:t>
            </w: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2.86(a), 87, 239ix, 319; МСП </w:t>
            </w: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стаття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1 2(a)</w:t>
            </w:r>
          </w:p>
        </w:tc>
        <w:tc>
          <w:tcPr>
            <w:tcW w:w="78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8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59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8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8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32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295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709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551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300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259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217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34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  <w:tr w:rsidR="00FF3FF6" w:rsidRPr="00FF3FF6" w:rsidTr="00FF3FF6">
        <w:trPr>
          <w:tblCellSpacing w:w="0" w:type="dxa"/>
          <w:jc w:val="center"/>
        </w:trPr>
        <w:tc>
          <w:tcPr>
            <w:tcW w:w="564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F3FF6">
              <w:rPr>
                <w:rFonts w:ascii="Times New Roman" w:hAnsi="Times New Roman"/>
                <w:sz w:val="18"/>
                <w:lang w:bidi="ar"/>
              </w:rPr>
              <w:t>0140</w:t>
            </w:r>
          </w:p>
        </w:tc>
        <w:tc>
          <w:tcPr>
            <w:tcW w:w="1701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r w:rsidRPr="00FF3FF6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Позики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зі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співвідношенням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суми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позики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та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вартості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забезпечення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більше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60</w:t>
            </w:r>
            <w:r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r w:rsidRPr="00FF3FF6">
              <w:rPr>
                <w:rFonts w:ascii="Times New Roman" w:hAnsi="Times New Roman"/>
                <w:sz w:val="18"/>
                <w:lang w:bidi="ar"/>
              </w:rPr>
              <w:t xml:space="preserve">%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та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менше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або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на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рівні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80</w:t>
            </w:r>
            <w:r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r w:rsidRPr="00FF3FF6">
              <w:rPr>
                <w:rFonts w:ascii="Times New Roman" w:hAnsi="Times New Roman"/>
                <w:sz w:val="18"/>
                <w:lang w:bidi="ar"/>
              </w:rPr>
              <w:t>%</w:t>
            </w:r>
          </w:p>
        </w:tc>
        <w:tc>
          <w:tcPr>
            <w:tcW w:w="1280" w:type="dxa"/>
          </w:tcPr>
          <w:p w:rsidR="00FF3FF6" w:rsidRPr="00FF3FF6" w:rsidRDefault="00FF3FF6" w:rsidP="00FF3FF6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2.239x, 325</w:t>
            </w:r>
          </w:p>
        </w:tc>
        <w:tc>
          <w:tcPr>
            <w:tcW w:w="78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8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59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8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8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32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295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709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551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300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259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217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34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  <w:tr w:rsidR="00FF3FF6" w:rsidRPr="00FF3FF6" w:rsidTr="00FF3FF6">
        <w:trPr>
          <w:tblCellSpacing w:w="0" w:type="dxa"/>
          <w:jc w:val="center"/>
        </w:trPr>
        <w:tc>
          <w:tcPr>
            <w:tcW w:w="564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F3FF6">
              <w:rPr>
                <w:rFonts w:ascii="Times New Roman" w:hAnsi="Times New Roman"/>
                <w:sz w:val="18"/>
                <w:lang w:bidi="ar"/>
              </w:rPr>
              <w:t>0150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r w:rsidRPr="00FF3FF6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Позики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зі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співвідношенням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суми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позики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та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вартості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забезпечення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більше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r w:rsidRPr="00FF3FF6">
              <w:rPr>
                <w:rFonts w:ascii="Times New Roman" w:hAnsi="Times New Roman"/>
                <w:sz w:val="18"/>
                <w:lang w:bidi="ar"/>
              </w:rPr>
              <w:lastRenderedPageBreak/>
              <w:t>80</w:t>
            </w:r>
            <w:r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r w:rsidRPr="00FF3FF6">
              <w:rPr>
                <w:rFonts w:ascii="Times New Roman" w:hAnsi="Times New Roman"/>
                <w:sz w:val="18"/>
                <w:lang w:bidi="ar"/>
              </w:rPr>
              <w:t xml:space="preserve">%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та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менше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або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на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рівні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100</w:t>
            </w:r>
            <w:r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r w:rsidRPr="00FF3FF6">
              <w:rPr>
                <w:rFonts w:ascii="Times New Roman" w:hAnsi="Times New Roman"/>
                <w:sz w:val="18"/>
                <w:lang w:bidi="ar"/>
              </w:rPr>
              <w:t>%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FF3FF6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lastRenderedPageBreak/>
              <w:t>Додаток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2.239x, 325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259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217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34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  <w:tr w:rsidR="00FF3FF6" w:rsidRPr="00FF3FF6" w:rsidTr="00FF3FF6">
        <w:trPr>
          <w:tblCellSpacing w:w="0" w:type="dxa"/>
          <w:jc w:val="center"/>
        </w:trPr>
        <w:tc>
          <w:tcPr>
            <w:tcW w:w="564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F3FF6">
              <w:rPr>
                <w:rFonts w:ascii="Times New Roman" w:hAnsi="Times New Roman"/>
                <w:sz w:val="18"/>
                <w:lang w:bidi="ar"/>
              </w:rPr>
              <w:t>0160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r w:rsidRPr="00FF3FF6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Позики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зі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співвідношенням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суми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позики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та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вартості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забезпечення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більше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100</w:t>
            </w:r>
            <w:r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r w:rsidRPr="00FF3FF6">
              <w:rPr>
                <w:rFonts w:ascii="Times New Roman" w:hAnsi="Times New Roman"/>
                <w:sz w:val="18"/>
                <w:lang w:bidi="ar"/>
              </w:rPr>
              <w:t>%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FF3FF6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2.239x, 325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259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217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34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  <w:tr w:rsidR="00FF3FF6" w:rsidRPr="00FF3FF6" w:rsidTr="00FF3FF6">
        <w:trPr>
          <w:tblCellSpacing w:w="0" w:type="dxa"/>
          <w:jc w:val="center"/>
        </w:trPr>
        <w:tc>
          <w:tcPr>
            <w:tcW w:w="564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F3FF6">
              <w:rPr>
                <w:rFonts w:ascii="Times New Roman" w:hAnsi="Times New Roman"/>
                <w:sz w:val="18"/>
                <w:lang w:bidi="ar"/>
              </w:rPr>
              <w:t>0170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b/>
                <w:sz w:val="18"/>
                <w:lang w:bidi="ar"/>
              </w:rPr>
            </w:pPr>
            <w:proofErr w:type="spellStart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>Позики</w:t>
            </w:r>
            <w:proofErr w:type="spellEnd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>для</w:t>
            </w:r>
            <w:proofErr w:type="spellEnd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>придбання</w:t>
            </w:r>
            <w:proofErr w:type="spellEnd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>комерційної</w:t>
            </w:r>
            <w:proofErr w:type="spellEnd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>нерухомості</w:t>
            </w:r>
            <w:proofErr w:type="spellEnd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>для</w:t>
            </w:r>
            <w:proofErr w:type="spellEnd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>нефінансових</w:t>
            </w:r>
            <w:proofErr w:type="spellEnd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>корпорацій</w:t>
            </w:r>
            <w:proofErr w:type="spellEnd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 xml:space="preserve">, </w:t>
            </w:r>
            <w:proofErr w:type="spellStart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>крім</w:t>
            </w:r>
            <w:proofErr w:type="spellEnd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 xml:space="preserve"> МСП, </w:t>
            </w:r>
            <w:proofErr w:type="spellStart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>забезпечен</w:t>
            </w:r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>і</w:t>
            </w:r>
            <w:proofErr w:type="spellEnd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>нерухомим</w:t>
            </w:r>
            <w:proofErr w:type="spellEnd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b/>
                <w:sz w:val="18"/>
                <w:lang w:bidi="ar"/>
              </w:rPr>
              <w:t>майном</w:t>
            </w:r>
            <w:proofErr w:type="spellEnd"/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FF3FF6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1.32, 42(e), 44(a), </w:t>
            </w: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2.86(a), 87, 239ix, 319; МСП </w:t>
            </w: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стаття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1 2(a)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259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217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34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  <w:tr w:rsidR="00FF3FF6" w:rsidRPr="00FF3FF6" w:rsidTr="00FF3FF6">
        <w:trPr>
          <w:tblCellSpacing w:w="0" w:type="dxa"/>
          <w:jc w:val="center"/>
        </w:trPr>
        <w:tc>
          <w:tcPr>
            <w:tcW w:w="564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F3FF6">
              <w:rPr>
                <w:rFonts w:ascii="Times New Roman" w:hAnsi="Times New Roman"/>
                <w:sz w:val="18"/>
                <w:lang w:bidi="ar"/>
              </w:rPr>
              <w:t>0180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r w:rsidRPr="00FF3FF6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Позики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зі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співвідношенням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суми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позики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та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вартості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забезпечення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більше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60</w:t>
            </w:r>
            <w:r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r w:rsidRPr="00FF3FF6">
              <w:rPr>
                <w:rFonts w:ascii="Times New Roman" w:hAnsi="Times New Roman"/>
                <w:sz w:val="18"/>
                <w:lang w:bidi="ar"/>
              </w:rPr>
              <w:t xml:space="preserve">%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та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менше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або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на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рівні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80</w:t>
            </w:r>
            <w:r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r w:rsidRPr="00FF3FF6">
              <w:rPr>
                <w:rFonts w:ascii="Times New Roman" w:hAnsi="Times New Roman"/>
                <w:sz w:val="18"/>
                <w:lang w:bidi="ar"/>
              </w:rPr>
              <w:t>%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FF3FF6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2.239x, 325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259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217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34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  <w:tr w:rsidR="00FF3FF6" w:rsidRPr="00FF3FF6" w:rsidTr="00FF3FF6">
        <w:trPr>
          <w:tblCellSpacing w:w="0" w:type="dxa"/>
          <w:jc w:val="center"/>
        </w:trPr>
        <w:tc>
          <w:tcPr>
            <w:tcW w:w="564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F3FF6">
              <w:rPr>
                <w:rFonts w:ascii="Times New Roman" w:hAnsi="Times New Roman"/>
                <w:sz w:val="18"/>
                <w:lang w:bidi="ar"/>
              </w:rPr>
              <w:t>0190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r w:rsidRPr="00FF3FF6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Позики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зі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співвідношенням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суми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позики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та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вартості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забезпечення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більше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80</w:t>
            </w:r>
            <w:r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r w:rsidRPr="00FF3FF6">
              <w:rPr>
                <w:rFonts w:ascii="Times New Roman" w:hAnsi="Times New Roman"/>
                <w:sz w:val="18"/>
                <w:lang w:bidi="ar"/>
              </w:rPr>
              <w:t xml:space="preserve">%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та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менше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або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на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рівні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100</w:t>
            </w:r>
            <w:r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r w:rsidRPr="00FF3FF6">
              <w:rPr>
                <w:rFonts w:ascii="Times New Roman" w:hAnsi="Times New Roman"/>
                <w:sz w:val="18"/>
                <w:lang w:bidi="ar"/>
              </w:rPr>
              <w:t>%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FF3FF6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2.239x, 325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259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217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34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  <w:tr w:rsidR="00FF3FF6" w:rsidRPr="00FF3FF6" w:rsidTr="00FF3FF6">
        <w:trPr>
          <w:tblCellSpacing w:w="0" w:type="dxa"/>
          <w:jc w:val="center"/>
        </w:trPr>
        <w:tc>
          <w:tcPr>
            <w:tcW w:w="564" w:type="dxa"/>
          </w:tcPr>
          <w:p w:rsidR="00FF3FF6" w:rsidRPr="00FF3FF6" w:rsidRDefault="00FF3FF6" w:rsidP="00FF3F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FF3FF6">
              <w:rPr>
                <w:rFonts w:ascii="Times New Roman" w:hAnsi="Times New Roman"/>
                <w:sz w:val="18"/>
                <w:lang w:bidi="ar"/>
              </w:rPr>
              <w:t>0200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r w:rsidRPr="00FF3FF6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Позики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зі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співвідношенням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суми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позики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та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вартості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забезпечення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FF3FF6">
              <w:rPr>
                <w:rFonts w:ascii="Times New Roman" w:hAnsi="Times New Roman"/>
                <w:sz w:val="18"/>
                <w:lang w:bidi="ar"/>
              </w:rPr>
              <w:t>більше</w:t>
            </w:r>
            <w:proofErr w:type="spellEnd"/>
            <w:r w:rsidRPr="00FF3FF6">
              <w:rPr>
                <w:rFonts w:ascii="Times New Roman" w:hAnsi="Times New Roman"/>
                <w:sz w:val="18"/>
                <w:lang w:bidi="ar"/>
              </w:rPr>
              <w:t xml:space="preserve"> 100</w:t>
            </w:r>
            <w:r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r w:rsidRPr="00FF3FF6">
              <w:rPr>
                <w:rFonts w:ascii="Times New Roman" w:hAnsi="Times New Roman"/>
                <w:sz w:val="18"/>
                <w:lang w:bidi="ar"/>
              </w:rPr>
              <w:t>%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FF3FF6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FF3FF6">
              <w:rPr>
                <w:rFonts w:ascii="Times New Roman" w:hAnsi="Times New Roman"/>
                <w:i/>
                <w:sz w:val="18"/>
                <w:lang w:bidi="ar"/>
              </w:rPr>
              <w:t xml:space="preserve"> 2.239x, 325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259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217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34" w:type="dxa"/>
          </w:tcPr>
          <w:p w:rsidR="00FF3FF6" w:rsidRPr="00FF3FF6" w:rsidRDefault="00FF3FF6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FF3F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</w:tbl>
    <w:p w:rsidR="00CB3AED" w:rsidRDefault="00CB3AED" w:rsidP="00FF3FF6"/>
    <w:sectPr w:rsidR="00CB3AED" w:rsidSect="00FF3FF6">
      <w:pgSz w:w="23811" w:h="16838" w:orient="landscape" w:code="8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FF6"/>
    <w:rsid w:val="00CB3AED"/>
    <w:rsid w:val="00CB4128"/>
    <w:rsid w:val="00FF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B1BE0"/>
  <w15:chartTrackingRefBased/>
  <w15:docId w15:val="{D66795AE-E101-4408-B4EA-86B00C30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128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paragraph" w:styleId="a3">
    <w:name w:val="Normal (Web)"/>
    <w:basedOn w:val="a"/>
    <w:uiPriority w:val="99"/>
    <w:rsid w:val="00FF3FF6"/>
    <w:pPr>
      <w:spacing w:before="100" w:beforeAutospacing="1" w:after="100" w:afterAutospacing="1"/>
    </w:pPr>
    <w:rPr>
      <w:rFonts w:ascii="Calibri" w:eastAsia="SimSun" w:hAnsi="Calibri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3311</Words>
  <Characters>1888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RePack by Diakov</cp:lastModifiedBy>
  <cp:revision>1</cp:revision>
  <dcterms:created xsi:type="dcterms:W3CDTF">2023-09-28T13:59:00Z</dcterms:created>
  <dcterms:modified xsi:type="dcterms:W3CDTF">2023-09-28T14:09:00Z</dcterms:modified>
</cp:coreProperties>
</file>