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9D" w:rsidRPr="0036279D" w:rsidRDefault="0036279D" w:rsidP="0036279D">
      <w:pPr>
        <w:pStyle w:val="a3"/>
        <w:jc w:val="both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36279D">
        <w:rPr>
          <w:rFonts w:ascii="Times New Roman" w:hAnsi="Times New Roman"/>
          <w:b/>
          <w:lang w:bidi="ar"/>
        </w:rPr>
        <w:t>19.</w:t>
      </w:r>
      <w:r w:rsidRPr="0036279D"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36279D">
        <w:rPr>
          <w:rFonts w:ascii="Times New Roman" w:hAnsi="Times New Roman"/>
          <w:b/>
          <w:lang w:bidi="ar"/>
        </w:rPr>
        <w:t>Інформа</w:t>
      </w:r>
      <w:r w:rsidRPr="0036279D">
        <w:rPr>
          <w:rFonts w:ascii="Times New Roman" w:hAnsi="Times New Roman"/>
          <w:b/>
          <w:lang w:bidi="ar"/>
        </w:rPr>
        <w:t>ція</w:t>
      </w:r>
      <w:proofErr w:type="spellEnd"/>
      <w:r w:rsidRPr="0036279D">
        <w:rPr>
          <w:rFonts w:ascii="Times New Roman" w:hAnsi="Times New Roman"/>
          <w:b/>
          <w:lang w:bidi="ar"/>
        </w:rPr>
        <w:t xml:space="preserve"> </w:t>
      </w:r>
      <w:proofErr w:type="spellStart"/>
      <w:r w:rsidRPr="0036279D">
        <w:rPr>
          <w:rFonts w:ascii="Times New Roman" w:hAnsi="Times New Roman"/>
          <w:b/>
          <w:lang w:bidi="ar"/>
        </w:rPr>
        <w:t>про</w:t>
      </w:r>
      <w:proofErr w:type="spellEnd"/>
      <w:r w:rsidRPr="0036279D">
        <w:rPr>
          <w:rFonts w:ascii="Times New Roman" w:hAnsi="Times New Roman"/>
          <w:b/>
          <w:lang w:bidi="ar"/>
        </w:rPr>
        <w:t xml:space="preserve"> </w:t>
      </w:r>
      <w:proofErr w:type="spellStart"/>
      <w:r w:rsidRPr="0036279D">
        <w:rPr>
          <w:rFonts w:ascii="Times New Roman" w:hAnsi="Times New Roman"/>
          <w:b/>
          <w:lang w:bidi="ar"/>
        </w:rPr>
        <w:t>експозиції</w:t>
      </w:r>
      <w:proofErr w:type="spellEnd"/>
      <w:r w:rsidRPr="0036279D">
        <w:rPr>
          <w:rFonts w:ascii="Times New Roman" w:hAnsi="Times New Roman"/>
          <w:b/>
          <w:lang w:bidi="ar"/>
        </w:rPr>
        <w:t xml:space="preserve"> з </w:t>
      </w:r>
      <w:proofErr w:type="spellStart"/>
      <w:r w:rsidRPr="0036279D">
        <w:rPr>
          <w:rFonts w:ascii="Times New Roman" w:hAnsi="Times New Roman"/>
          <w:b/>
          <w:lang w:bidi="ar"/>
        </w:rPr>
        <w:t>поступками</w:t>
      </w:r>
      <w:proofErr w:type="spellEnd"/>
    </w:p>
    <w:tbl>
      <w:tblPr>
        <w:tblW w:w="23192" w:type="dxa"/>
        <w:tblCellSpacing w:w="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9"/>
        <w:gridCol w:w="1701"/>
        <w:gridCol w:w="1276"/>
        <w:gridCol w:w="1418"/>
        <w:gridCol w:w="992"/>
        <w:gridCol w:w="850"/>
        <w:gridCol w:w="924"/>
        <w:gridCol w:w="1163"/>
        <w:gridCol w:w="1040"/>
        <w:gridCol w:w="640"/>
        <w:gridCol w:w="924"/>
        <w:gridCol w:w="1163"/>
        <w:gridCol w:w="950"/>
        <w:gridCol w:w="871"/>
        <w:gridCol w:w="1141"/>
        <w:gridCol w:w="640"/>
        <w:gridCol w:w="878"/>
        <w:gridCol w:w="640"/>
        <w:gridCol w:w="924"/>
        <w:gridCol w:w="1163"/>
        <w:gridCol w:w="640"/>
        <w:gridCol w:w="1030"/>
        <w:gridCol w:w="640"/>
        <w:gridCol w:w="1035"/>
      </w:tblGrid>
      <w:tr w:rsidR="0036279D" w:rsidRPr="0036279D" w:rsidTr="0036279D">
        <w:trPr>
          <w:tblCellSpacing w:w="0" w:type="dxa"/>
        </w:trPr>
        <w:tc>
          <w:tcPr>
            <w:tcW w:w="2250" w:type="dxa"/>
            <w:gridSpan w:val="2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657" w:type="dxa"/>
            <w:gridSpan w:val="11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Валова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балансова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сума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/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номінальна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сума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експозицій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із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поступками</w:t>
            </w:r>
            <w:proofErr w:type="spellEnd"/>
          </w:p>
        </w:tc>
        <w:tc>
          <w:tcPr>
            <w:tcW w:w="4245" w:type="dxa"/>
            <w:gridSpan w:val="5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Накопичене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зменшення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корисності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накопичені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від’ємні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зміни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у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справедливій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вартості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через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кредитний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ризик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резерви</w:t>
            </w:r>
            <w:proofErr w:type="spellEnd"/>
          </w:p>
        </w:tc>
        <w:tc>
          <w:tcPr>
            <w:tcW w:w="3345" w:type="dxa"/>
            <w:gridSpan w:val="4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Максимальна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сума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забезпечення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або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гарантії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яка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може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бути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врахована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b/>
                <w:sz w:val="14"/>
                <w:lang w:val="uk-UA" w:bidi="ar"/>
              </w:rPr>
              <w:br/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2.119</w:t>
            </w:r>
          </w:p>
        </w:tc>
      </w:tr>
      <w:tr w:rsidR="0036279D" w:rsidRPr="0036279D" w:rsidTr="0036279D">
        <w:trPr>
          <w:tblCellSpacing w:w="0" w:type="dxa"/>
        </w:trPr>
        <w:tc>
          <w:tcPr>
            <w:tcW w:w="2250" w:type="dxa"/>
            <w:gridSpan w:val="2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92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3977" w:type="dxa"/>
            <w:gridSpan w:val="4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Працюючі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експозиції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з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поступками</w:t>
            </w:r>
            <w:proofErr w:type="spellEnd"/>
          </w:p>
        </w:tc>
        <w:tc>
          <w:tcPr>
            <w:tcW w:w="5688" w:type="dxa"/>
            <w:gridSpan w:val="6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Непрацюючі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експозиції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з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поступками</w:t>
            </w:r>
            <w:proofErr w:type="spellEnd"/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Працюючі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експозиції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з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поступками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накопичені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зменшення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корисності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резерви</w:t>
            </w:r>
            <w:proofErr w:type="spellEnd"/>
          </w:p>
        </w:tc>
        <w:tc>
          <w:tcPr>
            <w:tcW w:w="2727" w:type="dxa"/>
            <w:gridSpan w:val="3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Непрацюючі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експозиції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з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поступками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накопичене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зменшення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корисності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накопичені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від’ємні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зміни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у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справедливій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вартості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через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кредитний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ризик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резерви</w:t>
            </w:r>
            <w:proofErr w:type="spellEnd"/>
          </w:p>
        </w:tc>
        <w:tc>
          <w:tcPr>
            <w:tcW w:w="3345" w:type="dxa"/>
            <w:gridSpan w:val="4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Отримане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забезпечення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отримані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фінансові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гарантії</w:t>
            </w:r>
            <w:proofErr w:type="spellEnd"/>
          </w:p>
        </w:tc>
      </w:tr>
      <w:tr w:rsidR="0036279D" w:rsidRPr="0036279D" w:rsidTr="0036279D">
        <w:trPr>
          <w:tblCellSpacing w:w="0" w:type="dxa"/>
        </w:trPr>
        <w:tc>
          <w:tcPr>
            <w:tcW w:w="2250" w:type="dxa"/>
            <w:gridSpan w:val="2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92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Інструменти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зміненими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умовами</w:t>
            </w:r>
            <w:proofErr w:type="spellEnd"/>
          </w:p>
        </w:tc>
        <w:tc>
          <w:tcPr>
            <w:tcW w:w="1163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Рефінансування</w:t>
            </w:r>
            <w:proofErr w:type="spellEnd"/>
          </w:p>
        </w:tc>
        <w:tc>
          <w:tcPr>
            <w:tcW w:w="1040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Працюючі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експозиції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які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стали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предметом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поступки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перебувають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на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пробації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раніше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були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класифіковані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як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непрацюючі</w:t>
            </w:r>
            <w:proofErr w:type="spellEnd"/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Інструменти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зміненими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умовами</w:t>
            </w:r>
            <w:proofErr w:type="spellEnd"/>
          </w:p>
        </w:tc>
        <w:tc>
          <w:tcPr>
            <w:tcW w:w="1163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Рефінансування</w:t>
            </w:r>
            <w:proofErr w:type="spellEnd"/>
          </w:p>
        </w:tc>
        <w:tc>
          <w:tcPr>
            <w:tcW w:w="950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>:</w:t>
            </w:r>
            <w:r w:rsidRPr="0036279D">
              <w:rPr>
                <w:rFonts w:ascii="Times New Roman" w:hAnsi="Times New Roman"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sz w:val="14"/>
                <w:lang w:val="uk-UA" w:bidi="ar"/>
              </w:rPr>
              <w:br/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Дефолтні</w:t>
            </w:r>
            <w:proofErr w:type="spellEnd"/>
          </w:p>
        </w:tc>
        <w:tc>
          <w:tcPr>
            <w:tcW w:w="871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>:</w:t>
            </w:r>
            <w:r w:rsidRPr="0036279D">
              <w:rPr>
                <w:rFonts w:ascii="Times New Roman" w:hAnsi="Times New Roman"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sz w:val="14"/>
                <w:lang w:val="uk-UA" w:bidi="ar"/>
              </w:rPr>
              <w:br/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зменшеною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корисністю</w:t>
            </w:r>
            <w:proofErr w:type="spellEnd"/>
          </w:p>
        </w:tc>
        <w:tc>
          <w:tcPr>
            <w:tcW w:w="1141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>:</w:t>
            </w:r>
            <w:r w:rsidRPr="0036279D">
              <w:rPr>
                <w:rFonts w:ascii="Times New Roman" w:hAnsi="Times New Roman"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sz w:val="14"/>
                <w:lang w:val="uk-UA" w:bidi="ar"/>
              </w:rPr>
              <w:br/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Поступка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стосовно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експозицій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які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до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застосування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поступки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були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непрацюючими</w:t>
            </w:r>
            <w:proofErr w:type="spellEnd"/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640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Інструменти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зміненими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умовами</w:t>
            </w:r>
            <w:proofErr w:type="spellEnd"/>
          </w:p>
        </w:tc>
        <w:tc>
          <w:tcPr>
            <w:tcW w:w="1163" w:type="dxa"/>
            <w:vMerge w:val="restart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Рефінансування</w:t>
            </w:r>
            <w:proofErr w:type="spellEnd"/>
          </w:p>
        </w:tc>
        <w:tc>
          <w:tcPr>
            <w:tcW w:w="1670" w:type="dxa"/>
            <w:gridSpan w:val="2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Отримане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забезпечення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експозицій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із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поступками</w:t>
            </w:r>
            <w:proofErr w:type="spellEnd"/>
          </w:p>
        </w:tc>
        <w:tc>
          <w:tcPr>
            <w:tcW w:w="1675" w:type="dxa"/>
            <w:gridSpan w:val="2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гарантії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отримані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стосовно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експозицій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із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поступками</w:t>
            </w:r>
            <w:proofErr w:type="spellEnd"/>
          </w:p>
        </w:tc>
      </w:tr>
      <w:tr w:rsidR="0036279D" w:rsidRPr="0036279D" w:rsidTr="0036279D">
        <w:trPr>
          <w:tblCellSpacing w:w="0" w:type="dxa"/>
        </w:trPr>
        <w:tc>
          <w:tcPr>
            <w:tcW w:w="2250" w:type="dxa"/>
            <w:gridSpan w:val="2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92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163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040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163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950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871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141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640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924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163" w:type="dxa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Забезпечення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отримане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під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непрацюючі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експозиції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з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поступками</w:t>
            </w:r>
            <w:proofErr w:type="spellEnd"/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гарантії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отримані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стосовно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непрацюючих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експозицій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із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поступками</w:t>
            </w:r>
            <w:proofErr w:type="spellEnd"/>
          </w:p>
        </w:tc>
      </w:tr>
      <w:tr w:rsidR="0036279D" w:rsidRPr="0036279D" w:rsidTr="0036279D">
        <w:trPr>
          <w:tblCellSpacing w:w="0" w:type="dxa"/>
        </w:trPr>
        <w:tc>
          <w:tcPr>
            <w:tcW w:w="2250" w:type="dxa"/>
            <w:gridSpan w:val="2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010</w:t>
            </w: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020</w:t>
            </w: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030</w:t>
            </w: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040</w:t>
            </w: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050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060</w:t>
            </w: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070</w:t>
            </w: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080</w:t>
            </w: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090</w:t>
            </w: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100</w:t>
            </w: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110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120</w:t>
            </w: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130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140</w:t>
            </w: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150</w:t>
            </w: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160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170</w:t>
            </w: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175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180</w:t>
            </w: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185</w:t>
            </w:r>
          </w:p>
        </w:tc>
      </w:tr>
      <w:tr w:rsidR="0036279D" w:rsidRPr="0036279D" w:rsidTr="0036279D">
        <w:trPr>
          <w:tblCellSpacing w:w="0" w:type="dxa"/>
        </w:trPr>
        <w:tc>
          <w:tcPr>
            <w:tcW w:w="2250" w:type="dxa"/>
            <w:gridSpan w:val="2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i/>
                <w:sz w:val="14"/>
                <w:lang w:val="uk-UA" w:bidi="ar"/>
              </w:rPr>
            </w:pP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МСФЗ, </w:t>
            </w: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сумісні</w:t>
            </w:r>
            <w:proofErr w:type="spellEnd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 з </w:t>
            </w: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референтними</w:t>
            </w:r>
            <w:proofErr w:type="spellEnd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національними</w:t>
            </w:r>
            <w:proofErr w:type="spellEnd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 ЗПБО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1.34,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2. 118, 240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245, 251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258</w:t>
            </w: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2. 256, 259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262</w:t>
            </w: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2.241(a), 266</w:t>
            </w: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241(b), 265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266</w:t>
            </w: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256(b), 261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2. 259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263</w:t>
            </w: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2.241(a), 266</w:t>
            </w: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241(b), 265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266</w:t>
            </w: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178 РВК;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2.264(b)</w:t>
            </w: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МСФЗ 9.5.5.1; МСФЗ 9.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A;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2.264(a)</w:t>
            </w: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231, 252(a), 263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2. 267</w:t>
            </w: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2. 207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2. 207</w:t>
            </w: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241(a), 267</w:t>
            </w: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241(b), 267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2. 268</w:t>
            </w: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2. 268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2. 268</w:t>
            </w: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2. 268</w:t>
            </w:r>
          </w:p>
        </w:tc>
      </w:tr>
      <w:tr w:rsidR="0036279D" w:rsidRPr="0036279D" w:rsidTr="0036279D">
        <w:trPr>
          <w:tblCellSpacing w:w="0" w:type="dxa"/>
        </w:trPr>
        <w:tc>
          <w:tcPr>
            <w:tcW w:w="2250" w:type="dxa"/>
            <w:gridSpan w:val="2"/>
            <w:vMerge/>
          </w:tcPr>
          <w:p w:rsidR="0036279D" w:rsidRPr="0036279D" w:rsidRDefault="0036279D" w:rsidP="0036279D">
            <w:pPr>
              <w:jc w:val="center"/>
              <w:rPr>
                <w:rFonts w:ascii="Times New Roman" w:hAnsi="Times New Roman"/>
                <w:sz w:val="14"/>
                <w:lang w:bidi="ar"/>
              </w:rPr>
            </w:pP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Референтні</w:t>
            </w:r>
            <w:proofErr w:type="spellEnd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національні</w:t>
            </w:r>
            <w:proofErr w:type="spellEnd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 ЗПБО </w:t>
            </w: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на</w:t>
            </w:r>
            <w:proofErr w:type="spellEnd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основі</w:t>
            </w:r>
            <w:proofErr w:type="spellEnd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деривативів</w:t>
            </w:r>
            <w:proofErr w:type="spellEnd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банківського</w:t>
            </w:r>
            <w:proofErr w:type="spellEnd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i/>
                <w:sz w:val="14"/>
                <w:lang w:bidi="ar"/>
              </w:rPr>
              <w:t>портфеля</w:t>
            </w:r>
            <w:proofErr w:type="spellEnd"/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b/>
                <w:i/>
                <w:sz w:val="14"/>
                <w:lang w:val="uk-UA" w:bidi="ar"/>
              </w:rPr>
            </w:pP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1.34,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2. 118, 240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245, 251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255</w:t>
            </w: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2. 256, 259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262</w:t>
            </w: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2.241(a), 266</w:t>
            </w: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241(b), 265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266</w:t>
            </w: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256(b), 261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2. 259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263</w:t>
            </w: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2.241(a), 266</w:t>
            </w: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241(b), 265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266</w:t>
            </w: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178 РВК;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2.264(b)</w:t>
            </w: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4(95) РВК;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2.264(a)</w:t>
            </w: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231, 252(a), 263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2. 267</w:t>
            </w: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2. 207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2. 207</w:t>
            </w: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241(a), 267</w:t>
            </w: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241(b), 267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2. 268</w:t>
            </w: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2. 268</w:t>
            </w: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2. 268</w:t>
            </w: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2. 268</w:t>
            </w: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005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Касові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залишки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в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центральних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банках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інші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депозити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до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запитання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13(2) ДБОБ;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2.2, 3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2.2, 3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010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Боргові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цінні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папери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1.31, 44(b)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1.31, 44(b)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020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Центральні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банки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030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Загальні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уряди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040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Кредитні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установи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050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Інші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060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070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Позики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аванси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1.32, 44(a)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1.32, 44(a)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080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Центральні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банки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090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Загальні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уряди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100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Кредитні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установи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110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Інші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120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130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Малі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середні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підприємства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МСП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1 2(a)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МСП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1 2(a)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140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Позики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забезпечені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комерційним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нерухомим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майном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150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Домогосподарства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1.42(f)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1.42(f)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lastRenderedPageBreak/>
              <w:t>160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Позики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забезпечені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житловим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нерухомим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майном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170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Споживчий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кредит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2.88(a), 234i 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2.88(a), 234i 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180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БОРГОВІ ІНСТРУМЕНТИ, ЯКІ ОЦІНЕНО ЗА СОБІВАРТІСТЮ АБО АМОРТИЗОВАНОЮ СОБІВАРТІСТЮ</w:t>
            </w: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2.249(a)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2.249(a)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181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Боргові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цінні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папери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1.31, 44(b)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1.31, 44(b)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182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Центральні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банки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183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Загальні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уряди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184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Кредитні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установи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185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Інші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186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191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Позики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аванси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1.32, 44(a)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1.32, 44(a)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192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Центральні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банки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193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Загальні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уряди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194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Кредитні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установи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195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Інші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196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900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Малі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середні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підприємства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МСП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1 2(a)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МСП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1 2(a)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903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Позики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забезпечені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комерційним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нерухомим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майном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197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Домогосподарства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1.42(f)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1.42(f)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910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Позики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забезпечені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житловим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нерухомим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майном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913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Споживчий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кредит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2.88(a), 234i 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2.88(a), 234i 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201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БОРГОВІ ІНСТРУМЕНТИ, ОЦІНЕНІ ЗА СПРАВЕДЛИВОЮ ВАРТІСТЮ ЧЕРЕЗ ІНШИЙ СУКУПНИЙ ДОХІД АБО ЧЕРЕЗ ВЛАСНИЙ КАПІТАЛ ЗІ ЗМЕНШЕНОЮ КОРИСНІСТЮ</w:t>
            </w: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2.249(b)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2.249(b)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211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Боргові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цінні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папери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1.31, 44(b)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1.31, 44(b)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212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Центральні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банки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213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Загальні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уряди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214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Кредитні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установи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215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Інші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216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lastRenderedPageBreak/>
              <w:t>221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Позики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аванси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1.32, 44(a)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1.32, 44(a)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222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Центральні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банки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223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Загальні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уряди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224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Кредитні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установи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1.42(c)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225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Інші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1.42(d)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226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Нефінансові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корпорації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1.42(e)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920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Малі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та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середні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підприємства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МСП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1 2(a)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МСП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стаття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 1 2(a)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923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Позики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забезпечені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комерційним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нерухомим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майном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227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Домогосподарства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1.42(f)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1.42(f)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930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Позики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,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забезпечені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житловим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нерухомим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майном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2.86(a), 87, 234i (a)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933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 xml:space="preserve">У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тому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числі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: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Споживчий</w:t>
            </w:r>
            <w:proofErr w:type="spellEnd"/>
            <w:r w:rsidRPr="0036279D">
              <w:rPr>
                <w:rFonts w:ascii="Times New Roman" w:hAnsi="Times New Roman"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sz w:val="14"/>
                <w:lang w:bidi="ar"/>
              </w:rPr>
              <w:t>кредит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2.88(a), 234i (b)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2.88(a), 234i (b)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231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БОРГОВІ ІНСТРУМЕНТИ, ВІДОБРАЖЕНІ ЛИШЕ ЗА СОБІВАРТІСТЮ ЧИ РИНКОВОЮ ЦІНОЮ (LOCOM) АБО ЗА СПРАВЕДЛИВОЮ ВАРТІСТЮ ЧЕРЕЗ ПРИБУТОК АБО ЗБИТОК ЧИ ЧЕРЕЗ ВЛАСНИЙ КАПІТАЛ ЗІ ЗМЕНШЕНОЮ КОРИСНІСТЮ</w:t>
            </w: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2.249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2.249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330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БОРГОВІ ІНСТРУМЕНТИ, КРІМ ТИХ, ЩО УТРИМУЮТЬСЯ ДЛЯ ТОРГІВЛІ, ТА КРІМ ТОРГОВЕЛЬНИХ</w:t>
            </w: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2.246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2.246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335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БОРГОВІ ІНСТРУМЕНТИ, УТРИМУВАНІ ДЛЯ ПРОДАЖУ</w:t>
            </w:r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val="uk-UA" w:bidi="ar"/>
              </w:rPr>
            </w:pP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2.247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  <w:tr w:rsidR="0036279D" w:rsidRPr="0036279D" w:rsidTr="0036279D">
        <w:trPr>
          <w:tblCellSpacing w:w="0" w:type="dxa"/>
        </w:trPr>
        <w:tc>
          <w:tcPr>
            <w:tcW w:w="549" w:type="dxa"/>
          </w:tcPr>
          <w:p w:rsidR="0036279D" w:rsidRPr="0036279D" w:rsidRDefault="0036279D" w:rsidP="0036279D">
            <w:pPr>
              <w:pStyle w:val="a3"/>
              <w:jc w:val="center"/>
              <w:rPr>
                <w:rFonts w:ascii="Times New Roman" w:hAnsi="Times New Roman"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sz w:val="14"/>
                <w:lang w:bidi="ar"/>
              </w:rPr>
              <w:t>340</w:t>
            </w:r>
          </w:p>
        </w:tc>
        <w:tc>
          <w:tcPr>
            <w:tcW w:w="170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b/>
                <w:sz w:val="14"/>
                <w:lang w:bidi="ar"/>
              </w:rPr>
            </w:pP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Надані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зобов’язання</w:t>
            </w:r>
            <w:proofErr w:type="spellEnd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 xml:space="preserve"> з </w:t>
            </w:r>
            <w:proofErr w:type="spellStart"/>
            <w:r w:rsidRPr="0036279D">
              <w:rPr>
                <w:rFonts w:ascii="Times New Roman" w:hAnsi="Times New Roman"/>
                <w:b/>
                <w:sz w:val="14"/>
                <w:lang w:bidi="ar"/>
              </w:rPr>
              <w:t>кредитування</w:t>
            </w:r>
            <w:proofErr w:type="spellEnd"/>
          </w:p>
        </w:tc>
        <w:tc>
          <w:tcPr>
            <w:tcW w:w="1276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РВК,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I;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1.44(g),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2.112, 113, 246</w:t>
            </w:r>
          </w:p>
        </w:tc>
        <w:tc>
          <w:tcPr>
            <w:tcW w:w="141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i/>
                <w:sz w:val="14"/>
                <w:lang w:bidi="ar"/>
              </w:rPr>
            </w:pP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РВК,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I;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додаток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V.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 xml:space="preserve">1.44(g), </w:t>
            </w:r>
            <w:proofErr w:type="spellStart"/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частина</w:t>
            </w:r>
            <w:proofErr w:type="spellEnd"/>
            <w:r w:rsidRPr="0036279D">
              <w:rPr>
                <w:rFonts w:ascii="Times New Roman" w:hAnsi="Times New Roman"/>
                <w:i/>
                <w:sz w:val="14"/>
                <w:lang w:val="uk-UA" w:bidi="ar"/>
              </w:rPr>
              <w:t xml:space="preserve"> 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2.102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-</w:t>
            </w:r>
            <w:r w:rsidRPr="0036279D">
              <w:rPr>
                <w:rFonts w:ascii="Times New Roman" w:hAnsi="Times New Roman"/>
                <w:i/>
                <w:sz w:val="14"/>
                <w:lang w:bidi="ar"/>
              </w:rPr>
              <w:t>105, 113, 116, 246</w:t>
            </w:r>
          </w:p>
        </w:tc>
        <w:tc>
          <w:tcPr>
            <w:tcW w:w="992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5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41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878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924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163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640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  <w:tc>
          <w:tcPr>
            <w:tcW w:w="1035" w:type="dxa"/>
          </w:tcPr>
          <w:p w:rsidR="0036279D" w:rsidRPr="0036279D" w:rsidRDefault="0036279D" w:rsidP="0036279D">
            <w:pPr>
              <w:pStyle w:val="a3"/>
              <w:rPr>
                <w:rFonts w:ascii="Times New Roman" w:hAnsi="Times New Roman"/>
                <w:sz w:val="14"/>
                <w:lang w:val="uk-UA" w:bidi="ar"/>
              </w:rPr>
            </w:pPr>
          </w:p>
        </w:tc>
      </w:tr>
    </w:tbl>
    <w:p w:rsidR="00CB3AED" w:rsidRDefault="00CB3AED" w:rsidP="0036279D">
      <w:pPr>
        <w:jc w:val="both"/>
      </w:pPr>
    </w:p>
    <w:sectPr w:rsidR="00CB3AED" w:rsidSect="0036279D">
      <w:pgSz w:w="24480" w:h="15840" w:orient="landscape" w:code="3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9D"/>
    <w:rsid w:val="0036279D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1802"/>
  <w15:chartTrackingRefBased/>
  <w15:docId w15:val="{E8900DD7-C7FF-4A58-AE2E-A2BED737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CB412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36279D"/>
    <w:pPr>
      <w:spacing w:before="100" w:beforeAutospacing="1" w:after="100" w:afterAutospacing="1"/>
      <w:outlineLvl w:val="4"/>
    </w:pPr>
    <w:rPr>
      <w:rFonts w:ascii="SimSun" w:eastAsia="SimSun" w:hAnsi="SimSun"/>
      <w:b/>
      <w:i/>
      <w:sz w:val="20"/>
      <w:lang w:val="en-US" w:eastAsia="zh-CN"/>
    </w:rPr>
  </w:style>
  <w:style w:type="paragraph" w:styleId="6">
    <w:name w:val="heading 6"/>
    <w:basedOn w:val="a"/>
    <w:next w:val="a"/>
    <w:link w:val="60"/>
    <w:uiPriority w:val="9"/>
    <w:qFormat/>
    <w:rsid w:val="0036279D"/>
    <w:pPr>
      <w:spacing w:before="100" w:beforeAutospacing="1" w:after="100" w:afterAutospacing="1"/>
      <w:outlineLvl w:val="5"/>
    </w:pPr>
    <w:rPr>
      <w:rFonts w:ascii="SimSun" w:eastAsia="SimSun" w:hAnsi="SimSun"/>
      <w:b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36279D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rsid w:val="0036279D"/>
    <w:rPr>
      <w:rFonts w:ascii="SimSun" w:eastAsia="SimSun" w:hAnsi="SimSun"/>
      <w:b/>
      <w:i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rsid w:val="0036279D"/>
    <w:rPr>
      <w:rFonts w:ascii="SimSun" w:eastAsia="SimSun" w:hAnsi="SimSun"/>
      <w:b/>
      <w:sz w:val="14"/>
      <w:szCs w:val="14"/>
      <w:lang w:val="en-US" w:eastAsia="zh-CN"/>
    </w:rPr>
  </w:style>
  <w:style w:type="character" w:styleId="a4">
    <w:name w:val="Hyperlink"/>
    <w:basedOn w:val="a0"/>
    <w:uiPriority w:val="99"/>
    <w:rsid w:val="0036279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362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/>
      <w:sz w:val="24"/>
      <w:szCs w:val="24"/>
      <w:lang w:val="en-US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36279D"/>
    <w:rPr>
      <w:rFonts w:ascii="SimSun" w:eastAsia="SimSun" w:hAnsi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6274</Words>
  <Characters>3577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2023-10-12T12:43:00Z</dcterms:created>
  <dcterms:modified xsi:type="dcterms:W3CDTF">2023-10-12T12:53:00Z</dcterms:modified>
</cp:coreProperties>
</file>