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F1" w:rsidRPr="005C1E57" w:rsidRDefault="00255AF1" w:rsidP="005C1E57">
      <w:pPr>
        <w:pStyle w:val="ShapkaDocumentu"/>
        <w:ind w:left="9912"/>
        <w:rPr>
          <w:rFonts w:ascii="Times New Roman" w:hAnsi="Times New Roman"/>
          <w:noProof/>
          <w:sz w:val="24"/>
          <w:szCs w:val="24"/>
          <w:lang w:val="ru-RU"/>
        </w:rPr>
      </w:pPr>
      <w:r w:rsidRPr="005C1E57">
        <w:rPr>
          <w:rFonts w:ascii="Times New Roman" w:hAnsi="Times New Roman"/>
          <w:noProof/>
          <w:sz w:val="24"/>
          <w:szCs w:val="24"/>
          <w:lang w:val="ru-RU"/>
        </w:rPr>
        <w:t>Додаток 6</w:t>
      </w:r>
      <w:r w:rsidRPr="005C1E57">
        <w:rPr>
          <w:rFonts w:ascii="Times New Roman" w:hAnsi="Times New Roman"/>
          <w:noProof/>
          <w:sz w:val="24"/>
          <w:szCs w:val="24"/>
          <w:lang w:val="ru-RU"/>
        </w:rPr>
        <w:br/>
        <w:t>до Методики</w:t>
      </w:r>
      <w:r w:rsidRPr="005C1E57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5C1E57">
        <w:rPr>
          <w:rFonts w:ascii="Times New Roman" w:hAnsi="Times New Roman"/>
          <w:noProof/>
          <w:sz w:val="24"/>
          <w:szCs w:val="24"/>
          <w:lang w:val="ru-RU"/>
        </w:rPr>
        <w:br/>
        <w:t>від 12 жовтня 2022 р. № 1192)</w:t>
      </w:r>
    </w:p>
    <w:p w:rsidR="00255AF1" w:rsidRPr="005C1E57" w:rsidRDefault="00255AF1" w:rsidP="00255AF1">
      <w:pPr>
        <w:pStyle w:val="a4"/>
        <w:spacing w:before="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5C1E57">
        <w:rPr>
          <w:rFonts w:ascii="Times New Roman" w:hAnsi="Times New Roman"/>
          <w:noProof/>
          <w:sz w:val="28"/>
          <w:szCs w:val="28"/>
          <w:lang w:val="ru-RU"/>
        </w:rPr>
        <w:t>РОЗРАХУНОК</w:t>
      </w:r>
      <w:r w:rsidRPr="005C1E57">
        <w:rPr>
          <w:rFonts w:ascii="Times New Roman" w:hAnsi="Times New Roman"/>
          <w:noProof/>
          <w:sz w:val="28"/>
          <w:szCs w:val="28"/>
          <w:lang w:val="ru-RU"/>
        </w:rPr>
        <w:br/>
        <w:t>фактичних нарахувань за теплову енергію та надані споживачам послуги за період з__ ______20__ р. по__ ______20__ р.*</w:t>
      </w:r>
    </w:p>
    <w:p w:rsidR="00255AF1" w:rsidRPr="005C1E57" w:rsidRDefault="00255AF1" w:rsidP="00255AF1">
      <w:pPr>
        <w:spacing w:before="8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55AF1" w:rsidRPr="005C1E57" w:rsidRDefault="00255AF1" w:rsidP="00255AF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C1E57">
        <w:rPr>
          <w:rFonts w:ascii="Times New Roman" w:hAnsi="Times New Roman"/>
          <w:noProof/>
          <w:sz w:val="24"/>
          <w:szCs w:val="24"/>
          <w:lang w:val="ru-RU"/>
        </w:rPr>
        <w:t>Найменування суб’єкта господарювання ______________________________________</w:t>
      </w:r>
    </w:p>
    <w:p w:rsidR="00255AF1" w:rsidRPr="005C1E57" w:rsidRDefault="00255AF1" w:rsidP="00255AF1">
      <w:pPr>
        <w:pStyle w:val="a3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C1E57">
        <w:rPr>
          <w:rFonts w:ascii="Times New Roman" w:hAnsi="Times New Roman"/>
          <w:noProof/>
          <w:sz w:val="24"/>
          <w:szCs w:val="24"/>
          <w:lang w:val="ru-RU"/>
        </w:rPr>
        <w:t>Код згідно з ЄДРПОУ ______________________________________________________</w:t>
      </w:r>
    </w:p>
    <w:tbl>
      <w:tblPr>
        <w:tblW w:w="5135" w:type="pct"/>
        <w:tblInd w:w="-567" w:type="dxa"/>
        <w:shd w:val="clear" w:color="auto" w:fill="FFFFFF"/>
        <w:tblLook w:val="04A0" w:firstRow="1" w:lastRow="0" w:firstColumn="1" w:lastColumn="0" w:noHBand="0" w:noVBand="1"/>
      </w:tblPr>
      <w:tblGrid>
        <w:gridCol w:w="819"/>
        <w:gridCol w:w="2804"/>
        <w:gridCol w:w="2672"/>
        <w:gridCol w:w="1765"/>
        <w:gridCol w:w="659"/>
        <w:gridCol w:w="792"/>
        <w:gridCol w:w="1292"/>
        <w:gridCol w:w="1059"/>
        <w:gridCol w:w="1393"/>
        <w:gridCol w:w="1297"/>
        <w:gridCol w:w="1394"/>
        <w:gridCol w:w="1363"/>
        <w:gridCol w:w="1723"/>
        <w:gridCol w:w="1464"/>
        <w:gridCol w:w="1486"/>
      </w:tblGrid>
      <w:tr w:rsidR="00255AF1" w:rsidRPr="00255AF1" w:rsidTr="00255AF1">
        <w:trPr>
          <w:tblHeader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Розділ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Назва тарифу, що застосовується у розрахунковому періоді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Категорія споживачів (населення, організації та установи, що фінансуються з державного та/або місцевих бюджетів, релігійні організації, інші споживачі, інші підприємства теплопостачання, що постачають теплову енергію, надають послуги з централізованого опалення та централізованого постачання гарячої води, послуги з постачання теплової енергії та постачання гарячої води населенню, організаціям та установам, що фінансуються з державного та/або місцевих бюджетів, релігійним організаціям, іншим споживачам)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255AF1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Документ, згідно з яким встановлено тариф, зазначений у графі 1</w:t>
            </w: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  <w:t>(рішення уповноваженого органу, дата та номер)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Період застосування тарифу, дата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Розмір тарифу, гривень за одиницю (без урахування податку на додану вартість)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Одиниця виміру, Гкал, </w:t>
            </w: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  <w:t>куб. метрів, кв. метрів, Гкал/год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Обсяги реалізації теплової енергії та наданих споживачам послуг, одиниць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Сума нарахувань за тарифом, гривень</w:t>
            </w: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br/>
              <w:t>(графа 6 х графа 8)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Сума здійснених перерахунків та коригувань, гривень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Сума фактичних нарахувань з урахуванням перерахунків та коригувань, гривень (графа 9 - графа 10 - графа 11 - графа 12 - графа 13)</w:t>
            </w:r>
          </w:p>
        </w:tc>
      </w:tr>
      <w:tr w:rsidR="00255AF1" w:rsidRPr="00255AF1" w:rsidTr="00255AF1">
        <w:trPr>
          <w:tblHeader/>
        </w:trPr>
        <w:tc>
          <w:tcPr>
            <w:tcW w:w="1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з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по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у зв’язку із зміною розміру нарахувань споживачам за теплову енергію та надані послуги,  пов’язаною із зміною ціни природного газу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у зв’язку з ненаданням послуг або наданням їх не в повному обсязі, зниженням якості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у результаті встановлених контролюючим органом порушень порядку формування тарифів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у результаті коригування  плати (нарахувань) за теплову енергію, надані споживачам послуги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255AF1">
        <w:trPr>
          <w:tblHeader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14</w:t>
            </w: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Теплова енергія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...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Послуга з постачання теплової енергії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...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E72323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Послуга з централізованого опалення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E72323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...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E72323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Послуга з  постачання гарячої води</w:t>
            </w:r>
            <w:bookmarkStart w:id="0" w:name="_GoBack"/>
            <w:bookmarkEnd w:id="0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E72323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...</w:t>
            </w:r>
          </w:p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E72323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Послуга з централізованого постачання гарячої води (з рушникосушильниками)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E72323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Послуга з централізованого постачання гарячої води (без рушникосушильників)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Усього дохід за діючими тарифами, гривень, у тому числі: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для потреб населення**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потреб організацій та установ, що фінансуються з державного та/або місцевих бюджетів**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для потреб релігійних організацій**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2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для потреб інших споживачів**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ІІ</w:t>
            </w:r>
          </w:p>
        </w:tc>
        <w:tc>
          <w:tcPr>
            <w:tcW w:w="45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Сума трансфертів та фінансової допомоги з державного бюджету,  які безпосередньо використано на основну (операційну) діяльність суб’єкта господарювання у сфері теплопостачання, за період визначення заборгованості з різниці в тарифах, гривень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255AF1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</w:p>
        </w:tc>
      </w:tr>
      <w:tr w:rsidR="00255AF1" w:rsidRPr="00255AF1" w:rsidTr="00255AF1"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2"/>
                <w:szCs w:val="22"/>
                <w:lang w:val="en-AU"/>
              </w:rPr>
              <w:t>ІІІ</w:t>
            </w:r>
          </w:p>
        </w:tc>
        <w:tc>
          <w:tcPr>
            <w:tcW w:w="28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5AF1" w:rsidRPr="005C1E57" w:rsidRDefault="00255AF1" w:rsidP="00182739">
            <w:pPr>
              <w:pStyle w:val="a3"/>
              <w:ind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Сума фактичних нарахувань для визначення заборгованості з різниці в тарифах, гривень (розділ І + розділ ІІ)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AF1" w:rsidRPr="005C1E57" w:rsidRDefault="00255AF1" w:rsidP="00182739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</w:tc>
      </w:tr>
    </w:tbl>
    <w:p w:rsidR="00255AF1" w:rsidRPr="005C1E57" w:rsidRDefault="00255AF1" w:rsidP="00255AF1">
      <w:pPr>
        <w:jc w:val="both"/>
        <w:rPr>
          <w:rFonts w:ascii="Times New Roman" w:eastAsia="Calibri" w:hAnsi="Times New Roman"/>
          <w:noProof/>
          <w:sz w:val="20"/>
          <w:szCs w:val="22"/>
          <w:lang w:val="ru-RU" w:eastAsia="en-US"/>
        </w:rPr>
      </w:pPr>
    </w:p>
    <w:p w:rsidR="00255AF1" w:rsidRPr="005C1E57" w:rsidRDefault="00255AF1">
      <w:pPr>
        <w:spacing w:after="160" w:line="259" w:lineRule="auto"/>
        <w:rPr>
          <w:rFonts w:ascii="Times New Roman" w:hAnsi="Times New Roman"/>
          <w:noProof/>
          <w:sz w:val="24"/>
          <w:szCs w:val="24"/>
          <w:lang w:val="ru-RU"/>
        </w:rPr>
      </w:pPr>
      <w:r w:rsidRPr="005C1E57">
        <w:rPr>
          <w:rFonts w:ascii="Times New Roman" w:hAnsi="Times New Roman"/>
          <w:noProof/>
          <w:sz w:val="24"/>
          <w:szCs w:val="24"/>
          <w:lang w:val="ru-RU"/>
        </w:rPr>
        <w:br w:type="page"/>
      </w:r>
    </w:p>
    <w:p w:rsidR="00255AF1" w:rsidRPr="005C1E57" w:rsidRDefault="00255AF1" w:rsidP="00255AF1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C1E57"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ДОВІДКОВО: </w:t>
      </w:r>
    </w:p>
    <w:p w:rsidR="00255AF1" w:rsidRPr="005C1E57" w:rsidRDefault="00255AF1" w:rsidP="00255AF1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5C1E57">
        <w:rPr>
          <w:rFonts w:ascii="Times New Roman" w:hAnsi="Times New Roman"/>
          <w:noProof/>
          <w:sz w:val="24"/>
          <w:szCs w:val="24"/>
          <w:lang w:val="ru-RU"/>
        </w:rPr>
        <w:t xml:space="preserve">Інформація щодо зміни розміру нарахувань, здійснених суб’єктом господарювання за теплову енергію, комунальні послуги для категорії споживачів </w:t>
      </w:r>
      <w:r w:rsidRPr="005C1E57">
        <w:rPr>
          <w:rFonts w:ascii="Times New Roman" w:hAnsi="Times New Roman"/>
          <w:noProof/>
          <w:sz w:val="24"/>
          <w:szCs w:val="24"/>
          <w:lang w:val="ru-RU" w:eastAsia="uk-UA"/>
        </w:rPr>
        <w:t>“</w:t>
      </w:r>
      <w:r w:rsidRPr="005C1E57">
        <w:rPr>
          <w:rFonts w:ascii="Times New Roman" w:hAnsi="Times New Roman"/>
          <w:noProof/>
          <w:sz w:val="24"/>
          <w:szCs w:val="24"/>
          <w:lang w:val="ru-RU"/>
        </w:rPr>
        <w:t xml:space="preserve">інші споживачі” виходячи із щомісячної зміни ціни природного газу (без урахування зміни тарифів на послуги з транспортування та розподілу природного газу, торговельної надбавки (націнки) постачальника) (за період визначення заборгованості з різниці в тарифах) </w:t>
      </w:r>
    </w:p>
    <w:p w:rsidR="00255AF1" w:rsidRPr="005C1E57" w:rsidRDefault="00255AF1" w:rsidP="00255AF1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5"/>
        <w:gridCol w:w="3797"/>
        <w:gridCol w:w="5086"/>
        <w:gridCol w:w="4118"/>
        <w:gridCol w:w="6708"/>
      </w:tblGrid>
      <w:tr w:rsidR="00255AF1" w:rsidRPr="00255AF1" w:rsidTr="00182739"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Період (місяць та рік)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Сума нарахувань за діючим у періоді тарифом (гривень)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Коефіцієнт перерахунку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AF1" w:rsidRPr="005C1E57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C1E5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Сума перерахунку (гривень) (графа 3 х (графа 4 - 1)</w:t>
            </w:r>
          </w:p>
        </w:tc>
      </w:tr>
      <w:tr w:rsidR="00255AF1" w:rsidRPr="00255AF1" w:rsidTr="00182739">
        <w:trPr>
          <w:trHeight w:val="311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</w:t>
            </w:r>
          </w:p>
        </w:tc>
      </w:tr>
      <w:tr w:rsidR="00255AF1" w:rsidRPr="00255AF1" w:rsidTr="00182739">
        <w:trPr>
          <w:trHeight w:val="311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55AF1" w:rsidRPr="00255AF1" w:rsidTr="00182739">
        <w:trPr>
          <w:trHeight w:val="311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55AF1" w:rsidRPr="00255AF1" w:rsidTr="00182739">
        <w:trPr>
          <w:trHeight w:val="311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…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55AF1" w:rsidRPr="00255AF1" w:rsidTr="00182739">
        <w:trPr>
          <w:trHeight w:val="311"/>
        </w:trPr>
        <w:tc>
          <w:tcPr>
            <w:tcW w:w="12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Усього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255AF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Х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AF1" w:rsidRPr="00255AF1" w:rsidRDefault="00255AF1" w:rsidP="00182739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255AF1" w:rsidRPr="00255AF1" w:rsidRDefault="00255AF1" w:rsidP="00255AF1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p w:rsidR="00255AF1" w:rsidRPr="00255AF1" w:rsidRDefault="00255AF1" w:rsidP="00255AF1">
      <w:pPr>
        <w:jc w:val="both"/>
        <w:rPr>
          <w:rFonts w:ascii="Times New Roman" w:hAnsi="Times New Roman"/>
          <w:noProof/>
          <w:sz w:val="24"/>
          <w:szCs w:val="24"/>
          <w:lang w:val="en-AU" w:eastAsia="en-US"/>
        </w:rPr>
      </w:pPr>
    </w:p>
    <w:tbl>
      <w:tblPr>
        <w:tblW w:w="4261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2"/>
        <w:gridCol w:w="197"/>
        <w:gridCol w:w="6858"/>
        <w:gridCol w:w="792"/>
        <w:gridCol w:w="4980"/>
        <w:gridCol w:w="4611"/>
      </w:tblGrid>
      <w:tr w:rsidR="00255AF1" w:rsidRPr="00255AF1" w:rsidTr="00182739">
        <w:trPr>
          <w:trHeight w:val="20"/>
        </w:trPr>
        <w:tc>
          <w:tcPr>
            <w:tcW w:w="220" w:type="pct"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before="120" w:after="200" w:line="228" w:lineRule="auto"/>
              <w:jc w:val="right"/>
              <w:rPr>
                <w:rFonts w:ascii="Times New Roman" w:hAnsi="Times New Roman"/>
                <w:noProof/>
                <w:color w:val="000000"/>
                <w:sz w:val="22"/>
                <w:szCs w:val="26"/>
                <w:lang w:val="en-AU" w:eastAsia="uk-UA"/>
              </w:rPr>
            </w:pPr>
          </w:p>
        </w:tc>
        <w:tc>
          <w:tcPr>
            <w:tcW w:w="54" w:type="pct"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before="120" w:after="200" w:line="228" w:lineRule="auto"/>
              <w:jc w:val="right"/>
              <w:rPr>
                <w:rFonts w:ascii="Times New Roman" w:hAnsi="Times New Roman"/>
                <w:noProof/>
                <w:color w:val="000000"/>
                <w:sz w:val="22"/>
                <w:szCs w:val="26"/>
                <w:lang w:val="en-AU" w:eastAsia="uk-UA"/>
              </w:rPr>
            </w:pPr>
          </w:p>
        </w:tc>
        <w:tc>
          <w:tcPr>
            <w:tcW w:w="1880" w:type="pct"/>
            <w:hideMark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before="120" w:after="200" w:line="228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255AF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Керівник суб’єкта господарювання</w:t>
            </w:r>
          </w:p>
        </w:tc>
        <w:tc>
          <w:tcPr>
            <w:tcW w:w="217" w:type="pct"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before="120" w:after="200"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</w:pPr>
          </w:p>
        </w:tc>
        <w:tc>
          <w:tcPr>
            <w:tcW w:w="1365" w:type="pct"/>
            <w:hideMark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before="120" w:after="200"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</w:pP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t>____________________</w:t>
            </w: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br/>
            </w:r>
            <w:r w:rsidRPr="00255AF1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(підпис)</w:t>
            </w:r>
          </w:p>
        </w:tc>
        <w:tc>
          <w:tcPr>
            <w:tcW w:w="1264" w:type="pct"/>
            <w:hideMark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before="120" w:after="200"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</w:pP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t>__________________________</w:t>
            </w: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br/>
            </w:r>
            <w:r w:rsidRPr="00255AF1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(ініціали та прізвище)</w:t>
            </w:r>
          </w:p>
        </w:tc>
      </w:tr>
      <w:tr w:rsidR="00255AF1" w:rsidRPr="00255AF1" w:rsidTr="00182739">
        <w:trPr>
          <w:trHeight w:val="20"/>
        </w:trPr>
        <w:tc>
          <w:tcPr>
            <w:tcW w:w="220" w:type="pct"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after="200" w:line="228" w:lineRule="auto"/>
              <w:jc w:val="right"/>
              <w:rPr>
                <w:rFonts w:ascii="Times New Roman" w:hAnsi="Times New Roman"/>
                <w:noProof/>
                <w:color w:val="000000"/>
                <w:sz w:val="22"/>
                <w:szCs w:val="26"/>
                <w:lang w:val="en-AU" w:eastAsia="uk-UA"/>
              </w:rPr>
            </w:pPr>
          </w:p>
        </w:tc>
        <w:tc>
          <w:tcPr>
            <w:tcW w:w="54" w:type="pct"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after="200" w:line="228" w:lineRule="auto"/>
              <w:jc w:val="right"/>
              <w:rPr>
                <w:rFonts w:ascii="Times New Roman" w:hAnsi="Times New Roman"/>
                <w:noProof/>
                <w:color w:val="000000"/>
                <w:sz w:val="22"/>
                <w:szCs w:val="26"/>
                <w:lang w:val="en-AU" w:eastAsia="uk-UA"/>
              </w:rPr>
            </w:pPr>
          </w:p>
        </w:tc>
        <w:tc>
          <w:tcPr>
            <w:tcW w:w="1880" w:type="pct"/>
            <w:hideMark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after="200" w:line="228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255AF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Виконавець</w:t>
            </w:r>
          </w:p>
        </w:tc>
        <w:tc>
          <w:tcPr>
            <w:tcW w:w="217" w:type="pct"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after="200"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</w:pPr>
          </w:p>
        </w:tc>
        <w:tc>
          <w:tcPr>
            <w:tcW w:w="1365" w:type="pct"/>
            <w:hideMark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after="200"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</w:pP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t>____________________</w:t>
            </w: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br/>
            </w:r>
            <w:r w:rsidRPr="00255AF1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(посада)</w:t>
            </w:r>
          </w:p>
        </w:tc>
        <w:tc>
          <w:tcPr>
            <w:tcW w:w="1264" w:type="pct"/>
            <w:hideMark/>
          </w:tcPr>
          <w:p w:rsidR="00255AF1" w:rsidRPr="00255AF1" w:rsidRDefault="00255AF1" w:rsidP="00182739">
            <w:pPr>
              <w:autoSpaceDE w:val="0"/>
              <w:autoSpaceDN w:val="0"/>
              <w:adjustRightInd w:val="0"/>
              <w:spacing w:after="200"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</w:pP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t>__________________________</w:t>
            </w:r>
            <w:r w:rsidRPr="00255AF1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AU" w:eastAsia="uk-UA"/>
              </w:rPr>
              <w:br/>
            </w:r>
            <w:r w:rsidRPr="00255AF1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(ініціали та прізвище)</w:t>
            </w:r>
          </w:p>
        </w:tc>
      </w:tr>
    </w:tbl>
    <w:p w:rsidR="00255AF1" w:rsidRPr="005C1E57" w:rsidRDefault="00255AF1" w:rsidP="00255AF1">
      <w:pPr>
        <w:jc w:val="both"/>
        <w:rPr>
          <w:rFonts w:ascii="Times New Roman" w:hAnsi="Times New Roman"/>
          <w:noProof/>
          <w:sz w:val="20"/>
          <w:lang w:val="ru-RU"/>
        </w:rPr>
      </w:pPr>
      <w:r w:rsidRPr="005C1E57">
        <w:rPr>
          <w:rFonts w:ascii="Times New Roman" w:hAnsi="Times New Roman"/>
          <w:noProof/>
          <w:sz w:val="20"/>
          <w:lang w:val="ru-RU"/>
        </w:rPr>
        <w:t>__________</w:t>
      </w:r>
      <w:r w:rsidRPr="005C1E57">
        <w:rPr>
          <w:rFonts w:ascii="Times New Roman" w:hAnsi="Times New Roman"/>
          <w:noProof/>
          <w:sz w:val="20"/>
          <w:lang w:val="ru-RU"/>
        </w:rPr>
        <w:br/>
        <w:t>* Період, за який розраховується  заборгованість з різниці в тарифах, визначається в межах одного календарного року.</w:t>
      </w:r>
    </w:p>
    <w:p w:rsidR="00255AF1" w:rsidRPr="005C1E57" w:rsidRDefault="00255AF1" w:rsidP="00255AF1">
      <w:pPr>
        <w:jc w:val="both"/>
        <w:rPr>
          <w:rFonts w:ascii="Times New Roman" w:hAnsi="Times New Roman"/>
          <w:iCs/>
          <w:noProof/>
          <w:sz w:val="20"/>
          <w:lang w:val="ru-RU" w:eastAsia="uk-UA"/>
        </w:rPr>
      </w:pPr>
      <w:r w:rsidRPr="005C1E57">
        <w:rPr>
          <w:rFonts w:ascii="Times New Roman" w:hAnsi="Times New Roman"/>
          <w:iCs/>
          <w:noProof/>
          <w:color w:val="000000"/>
          <w:sz w:val="20"/>
          <w:lang w:val="ru-RU" w:eastAsia="uk-UA"/>
        </w:rPr>
        <w:t xml:space="preserve">** У тому числі для потреб інших підприємств теплопостачання, що постачають теплову енергію, надають послуги з централізованого опалення та централізованого постачання гарячої води, </w:t>
      </w:r>
      <w:r w:rsidRPr="005C1E57">
        <w:rPr>
          <w:rFonts w:ascii="Times New Roman" w:hAnsi="Times New Roman"/>
          <w:iCs/>
          <w:noProof/>
          <w:sz w:val="20"/>
          <w:lang w:val="ru-RU" w:eastAsia="uk-UA"/>
        </w:rPr>
        <w:t>послуги з постачання теплової енергії та постачання гарячої води відповідним категоріям споживачів (населення, організації та установи, що фінансуються з державного та/або місцевих бюджетів, релігійні організації, інші споживачі).</w:t>
      </w:r>
    </w:p>
    <w:p w:rsidR="00255AF1" w:rsidRPr="005C1E57" w:rsidRDefault="00255AF1" w:rsidP="00255AF1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noProof/>
          <w:sz w:val="28"/>
          <w:szCs w:val="28"/>
          <w:lang w:val="ru-RU"/>
        </w:rPr>
      </w:pPr>
    </w:p>
    <w:p w:rsidR="008A4265" w:rsidRPr="005C1E57" w:rsidRDefault="008A4265">
      <w:pPr>
        <w:rPr>
          <w:noProof/>
          <w:lang w:val="ru-RU"/>
        </w:rPr>
      </w:pPr>
    </w:p>
    <w:sectPr w:rsidR="008A4265" w:rsidRPr="005C1E57" w:rsidSect="00255AF1">
      <w:pgSz w:w="23814" w:h="16840" w:orient="landscape"/>
      <w:pgMar w:top="1276" w:right="992" w:bottom="28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F1"/>
    <w:rsid w:val="00255AF1"/>
    <w:rsid w:val="005A1CF3"/>
    <w:rsid w:val="005C1E57"/>
    <w:rsid w:val="008A4265"/>
    <w:rsid w:val="00E7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E2B1"/>
  <w15:chartTrackingRefBased/>
  <w15:docId w15:val="{68450C27-9F05-4C16-9B1F-C9210E5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F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55AF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AF1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255AF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55AF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55AF1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DBF3-7B56-4132-B3C9-7C8F4E4C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4</cp:revision>
  <dcterms:created xsi:type="dcterms:W3CDTF">2022-10-25T11:15:00Z</dcterms:created>
  <dcterms:modified xsi:type="dcterms:W3CDTF">2022-10-26T06:15:00Z</dcterms:modified>
</cp:coreProperties>
</file>