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827" w:rsidRPr="009418C7" w:rsidRDefault="009418C7" w:rsidP="009418C7">
      <w:pPr>
        <w:pStyle w:val="a3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C 33.00 -</w:t>
      </w:r>
      <w:r w:rsidR="00620827" w:rsidRPr="009418C7">
        <w:rPr>
          <w:rFonts w:ascii="Times New Roman" w:hAnsi="Times New Roman"/>
          <w:b/>
        </w:rPr>
        <w:t xml:space="preserve"> ЕКСПОЗИЦІЇ ЗАГАЛЬНИХ УРЯДІВ ЗА КРАЇНАМИ КОНТРАГЕНТА (GOV)</w:t>
      </w:r>
    </w:p>
    <w:p w:rsidR="00620827" w:rsidRPr="009418C7" w:rsidRDefault="00620827" w:rsidP="009418C7">
      <w:pPr>
        <w:pStyle w:val="a3"/>
        <w:jc w:val="center"/>
        <w:rPr>
          <w:rFonts w:ascii="Times New Roman" w:hAnsi="Times New Roman"/>
          <w:b/>
        </w:rPr>
      </w:pPr>
      <w:r w:rsidRPr="009418C7">
        <w:rPr>
          <w:rFonts w:ascii="Times New Roman" w:hAnsi="Times New Roman"/>
          <w:b/>
        </w:rPr>
        <w:t>Країна: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"/>
        <w:gridCol w:w="995"/>
        <w:gridCol w:w="862"/>
        <w:gridCol w:w="862"/>
        <w:gridCol w:w="614"/>
        <w:gridCol w:w="660"/>
        <w:gridCol w:w="808"/>
        <w:gridCol w:w="761"/>
        <w:gridCol w:w="778"/>
        <w:gridCol w:w="761"/>
        <w:gridCol w:w="872"/>
        <w:gridCol w:w="826"/>
        <w:gridCol w:w="778"/>
        <w:gridCol w:w="772"/>
        <w:gridCol w:w="438"/>
        <w:gridCol w:w="771"/>
        <w:gridCol w:w="652"/>
        <w:gridCol w:w="862"/>
        <w:gridCol w:w="715"/>
        <w:gridCol w:w="844"/>
        <w:gridCol w:w="862"/>
        <w:gridCol w:w="568"/>
        <w:gridCol w:w="427"/>
        <w:gridCol w:w="568"/>
        <w:gridCol w:w="427"/>
        <w:gridCol w:w="646"/>
        <w:gridCol w:w="432"/>
        <w:gridCol w:w="715"/>
        <w:gridCol w:w="761"/>
        <w:gridCol w:w="761"/>
        <w:gridCol w:w="552"/>
        <w:gridCol w:w="552"/>
      </w:tblGrid>
      <w:tr w:rsidR="00620827" w:rsidRPr="00D97C52" w:rsidTr="009418C7">
        <w:tc>
          <w:tcPr>
            <w:tcW w:w="1341" w:type="dxa"/>
            <w:gridSpan w:val="2"/>
            <w:vMerge w:val="restart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18281" w:type="dxa"/>
            <w:gridSpan w:val="26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b/>
                <w:sz w:val="10"/>
                <w:szCs w:val="16"/>
              </w:rPr>
              <w:t>Прямі експозиції</w:t>
            </w:r>
          </w:p>
        </w:tc>
        <w:tc>
          <w:tcPr>
            <w:tcW w:w="1522" w:type="dxa"/>
            <w:gridSpan w:val="2"/>
            <w:vMerge w:val="restart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b/>
                <w:sz w:val="10"/>
                <w:szCs w:val="16"/>
              </w:rPr>
              <w:t>Меморіальна позиція: кредитні деривативи, продані на умовах експозицій загального уряду</w:t>
            </w:r>
          </w:p>
        </w:tc>
        <w:tc>
          <w:tcPr>
            <w:tcW w:w="552" w:type="dxa"/>
            <w:vMerge w:val="restart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b/>
                <w:sz w:val="10"/>
                <w:szCs w:val="16"/>
              </w:rPr>
              <w:t>Вартість експозиції</w:t>
            </w:r>
          </w:p>
        </w:tc>
        <w:tc>
          <w:tcPr>
            <w:tcW w:w="552" w:type="dxa"/>
            <w:vMerge w:val="restart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b/>
                <w:sz w:val="10"/>
                <w:szCs w:val="16"/>
              </w:rPr>
              <w:t>Сума зваженої на ризик експозиції</w:t>
            </w:r>
          </w:p>
        </w:tc>
      </w:tr>
      <w:tr w:rsidR="00620827" w:rsidRPr="00D97C52" w:rsidTr="009418C7">
        <w:tc>
          <w:tcPr>
            <w:tcW w:w="1341" w:type="dxa"/>
            <w:gridSpan w:val="2"/>
            <w:vMerge/>
            <w:vAlign w:val="center"/>
            <w:hideMark/>
          </w:tcPr>
          <w:p w:rsidR="00620827" w:rsidRPr="00D97C52" w:rsidRDefault="00620827" w:rsidP="009418C7">
            <w:pPr>
              <w:jc w:val="center"/>
              <w:rPr>
                <w:rFonts w:ascii="Times New Roman" w:eastAsia="SimSun" w:hAnsi="Times New Roman"/>
                <w:sz w:val="10"/>
                <w:szCs w:val="16"/>
                <w:lang w:eastAsia="uk-UA"/>
              </w:rPr>
            </w:pPr>
          </w:p>
        </w:tc>
        <w:tc>
          <w:tcPr>
            <w:tcW w:w="10563" w:type="dxa"/>
            <w:gridSpan w:val="14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b/>
                <w:sz w:val="10"/>
                <w:szCs w:val="16"/>
              </w:rPr>
              <w:t>Балансові експозиції</w:t>
            </w:r>
          </w:p>
        </w:tc>
        <w:tc>
          <w:tcPr>
            <w:tcW w:w="652" w:type="dxa"/>
            <w:vMerge w:val="restart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b/>
                <w:sz w:val="10"/>
                <w:szCs w:val="16"/>
              </w:rPr>
              <w:t>Накопичене зменшення корисності</w:t>
            </w:r>
          </w:p>
        </w:tc>
        <w:tc>
          <w:tcPr>
            <w:tcW w:w="862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715" w:type="dxa"/>
            <w:vMerge w:val="restart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b/>
                <w:sz w:val="10"/>
                <w:szCs w:val="16"/>
              </w:rPr>
              <w:t>Накопичені від’ємні зміни у справедливій вартості через кредитний ризик</w:t>
            </w:r>
          </w:p>
        </w:tc>
        <w:tc>
          <w:tcPr>
            <w:tcW w:w="844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62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1990" w:type="dxa"/>
            <w:gridSpan w:val="4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b/>
                <w:sz w:val="10"/>
                <w:szCs w:val="16"/>
              </w:rPr>
              <w:t>Деривативи</w:t>
            </w:r>
          </w:p>
        </w:tc>
        <w:tc>
          <w:tcPr>
            <w:tcW w:w="1793" w:type="dxa"/>
            <w:gridSpan w:val="3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b/>
                <w:sz w:val="10"/>
                <w:szCs w:val="16"/>
              </w:rPr>
              <w:t>Позабалансові експозиції</w:t>
            </w:r>
          </w:p>
        </w:tc>
        <w:tc>
          <w:tcPr>
            <w:tcW w:w="1522" w:type="dxa"/>
            <w:gridSpan w:val="2"/>
            <w:vMerge/>
            <w:vAlign w:val="center"/>
            <w:hideMark/>
          </w:tcPr>
          <w:p w:rsidR="00620827" w:rsidRPr="00D97C52" w:rsidRDefault="00620827" w:rsidP="009418C7">
            <w:pPr>
              <w:jc w:val="center"/>
              <w:rPr>
                <w:rFonts w:ascii="Times New Roman" w:eastAsia="SimSun" w:hAnsi="Times New Roman"/>
                <w:sz w:val="10"/>
                <w:szCs w:val="16"/>
                <w:lang w:eastAsia="uk-UA"/>
              </w:rPr>
            </w:pPr>
          </w:p>
        </w:tc>
        <w:tc>
          <w:tcPr>
            <w:tcW w:w="552" w:type="dxa"/>
            <w:vMerge/>
            <w:vAlign w:val="center"/>
            <w:hideMark/>
          </w:tcPr>
          <w:p w:rsidR="00620827" w:rsidRPr="00D97C52" w:rsidRDefault="00620827" w:rsidP="009418C7">
            <w:pPr>
              <w:jc w:val="center"/>
              <w:rPr>
                <w:rFonts w:ascii="Times New Roman" w:eastAsia="SimSun" w:hAnsi="Times New Roman"/>
                <w:sz w:val="10"/>
                <w:szCs w:val="16"/>
                <w:lang w:eastAsia="uk-UA"/>
              </w:rPr>
            </w:pPr>
          </w:p>
        </w:tc>
        <w:tc>
          <w:tcPr>
            <w:tcW w:w="552" w:type="dxa"/>
            <w:vMerge/>
            <w:vAlign w:val="center"/>
            <w:hideMark/>
          </w:tcPr>
          <w:p w:rsidR="00620827" w:rsidRPr="00D97C52" w:rsidRDefault="00620827" w:rsidP="009418C7">
            <w:pPr>
              <w:jc w:val="center"/>
              <w:rPr>
                <w:rFonts w:ascii="Times New Roman" w:eastAsia="SimSun" w:hAnsi="Times New Roman"/>
                <w:sz w:val="10"/>
                <w:szCs w:val="16"/>
                <w:lang w:eastAsia="uk-UA"/>
              </w:rPr>
            </w:pPr>
          </w:p>
        </w:tc>
      </w:tr>
      <w:tr w:rsidR="00620827" w:rsidRPr="00D97C52" w:rsidTr="009418C7">
        <w:tc>
          <w:tcPr>
            <w:tcW w:w="1341" w:type="dxa"/>
            <w:gridSpan w:val="2"/>
            <w:vMerge/>
            <w:vAlign w:val="center"/>
            <w:hideMark/>
          </w:tcPr>
          <w:p w:rsidR="00620827" w:rsidRPr="00D97C52" w:rsidRDefault="00620827" w:rsidP="009418C7">
            <w:pPr>
              <w:jc w:val="center"/>
              <w:rPr>
                <w:rFonts w:ascii="Times New Roman" w:eastAsia="SimSun" w:hAnsi="Times New Roman"/>
                <w:sz w:val="10"/>
                <w:szCs w:val="16"/>
                <w:lang w:eastAsia="uk-UA"/>
              </w:rPr>
            </w:pPr>
          </w:p>
        </w:tc>
        <w:tc>
          <w:tcPr>
            <w:tcW w:w="862" w:type="dxa"/>
            <w:vMerge w:val="restart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b/>
                <w:sz w:val="10"/>
                <w:szCs w:val="16"/>
              </w:rPr>
              <w:t xml:space="preserve">Загальна валова балансова сума </w:t>
            </w:r>
            <w:proofErr w:type="spellStart"/>
            <w:r w:rsidRPr="00D97C52">
              <w:rPr>
                <w:rFonts w:ascii="Times New Roman" w:hAnsi="Times New Roman"/>
                <w:b/>
                <w:sz w:val="10"/>
                <w:szCs w:val="16"/>
              </w:rPr>
              <w:t>недеривативних</w:t>
            </w:r>
            <w:proofErr w:type="spellEnd"/>
            <w:r w:rsidRPr="00D97C52">
              <w:rPr>
                <w:rFonts w:ascii="Times New Roman" w:hAnsi="Times New Roman"/>
                <w:b/>
                <w:sz w:val="10"/>
                <w:szCs w:val="16"/>
              </w:rPr>
              <w:t xml:space="preserve"> фінансових активів</w:t>
            </w:r>
          </w:p>
        </w:tc>
        <w:tc>
          <w:tcPr>
            <w:tcW w:w="862" w:type="dxa"/>
            <w:vMerge w:val="restart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b/>
                <w:sz w:val="10"/>
                <w:szCs w:val="16"/>
              </w:rPr>
              <w:t xml:space="preserve">Загальна балансова сума </w:t>
            </w:r>
            <w:proofErr w:type="spellStart"/>
            <w:r w:rsidRPr="00D97C52">
              <w:rPr>
                <w:rFonts w:ascii="Times New Roman" w:hAnsi="Times New Roman"/>
                <w:b/>
                <w:sz w:val="10"/>
                <w:szCs w:val="16"/>
              </w:rPr>
              <w:t>недеривативних</w:t>
            </w:r>
            <w:proofErr w:type="spellEnd"/>
            <w:r w:rsidRPr="00D97C52">
              <w:rPr>
                <w:rFonts w:ascii="Times New Roman" w:hAnsi="Times New Roman"/>
                <w:b/>
                <w:sz w:val="10"/>
                <w:szCs w:val="16"/>
              </w:rPr>
              <w:t xml:space="preserve"> фінансових активів (за вирахуванням коротких позицій)</w:t>
            </w:r>
          </w:p>
        </w:tc>
        <w:tc>
          <w:tcPr>
            <w:tcW w:w="7630" w:type="dxa"/>
            <w:gridSpan w:val="10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proofErr w:type="spellStart"/>
            <w:r w:rsidRPr="00D97C52">
              <w:rPr>
                <w:rFonts w:ascii="Times New Roman" w:hAnsi="Times New Roman"/>
                <w:b/>
                <w:sz w:val="10"/>
                <w:szCs w:val="16"/>
              </w:rPr>
              <w:t>Недеривативні</w:t>
            </w:r>
            <w:proofErr w:type="spellEnd"/>
            <w:r w:rsidRPr="00D97C52">
              <w:rPr>
                <w:rFonts w:ascii="Times New Roman" w:hAnsi="Times New Roman"/>
                <w:b/>
                <w:sz w:val="10"/>
                <w:szCs w:val="16"/>
              </w:rPr>
              <w:t xml:space="preserve"> фінансові активи за </w:t>
            </w:r>
            <w:proofErr w:type="spellStart"/>
            <w:r w:rsidRPr="00D97C52">
              <w:rPr>
                <w:rFonts w:ascii="Times New Roman" w:hAnsi="Times New Roman"/>
                <w:b/>
                <w:sz w:val="10"/>
                <w:szCs w:val="16"/>
              </w:rPr>
              <w:t>обліковуваними</w:t>
            </w:r>
            <w:proofErr w:type="spellEnd"/>
            <w:r w:rsidRPr="00D97C52">
              <w:rPr>
                <w:rFonts w:ascii="Times New Roman" w:hAnsi="Times New Roman"/>
                <w:b/>
                <w:sz w:val="10"/>
                <w:szCs w:val="16"/>
              </w:rPr>
              <w:t xml:space="preserve"> портфелями</w:t>
            </w:r>
          </w:p>
        </w:tc>
        <w:tc>
          <w:tcPr>
            <w:tcW w:w="438" w:type="dxa"/>
            <w:vMerge w:val="restart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b/>
                <w:sz w:val="10"/>
                <w:szCs w:val="16"/>
              </w:rPr>
              <w:t>Короткі позиції</w:t>
            </w:r>
          </w:p>
        </w:tc>
        <w:tc>
          <w:tcPr>
            <w:tcW w:w="771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652" w:type="dxa"/>
            <w:vMerge/>
            <w:vAlign w:val="center"/>
            <w:hideMark/>
          </w:tcPr>
          <w:p w:rsidR="00620827" w:rsidRPr="00D97C52" w:rsidRDefault="00620827" w:rsidP="009418C7">
            <w:pPr>
              <w:jc w:val="center"/>
              <w:rPr>
                <w:rFonts w:ascii="Times New Roman" w:eastAsia="SimSun" w:hAnsi="Times New Roman"/>
                <w:sz w:val="10"/>
                <w:szCs w:val="16"/>
                <w:lang w:eastAsia="uk-UA"/>
              </w:rPr>
            </w:pPr>
          </w:p>
        </w:tc>
        <w:tc>
          <w:tcPr>
            <w:tcW w:w="862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715" w:type="dxa"/>
            <w:vMerge/>
            <w:vAlign w:val="center"/>
            <w:hideMark/>
          </w:tcPr>
          <w:p w:rsidR="00620827" w:rsidRPr="00D97C52" w:rsidRDefault="00620827" w:rsidP="009418C7">
            <w:pPr>
              <w:jc w:val="center"/>
              <w:rPr>
                <w:rFonts w:ascii="Times New Roman" w:eastAsia="SimSun" w:hAnsi="Times New Roman"/>
                <w:sz w:val="10"/>
                <w:szCs w:val="16"/>
                <w:lang w:eastAsia="uk-UA"/>
              </w:rPr>
            </w:pPr>
          </w:p>
        </w:tc>
        <w:tc>
          <w:tcPr>
            <w:tcW w:w="844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862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995" w:type="dxa"/>
            <w:gridSpan w:val="2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b/>
                <w:sz w:val="10"/>
                <w:szCs w:val="16"/>
              </w:rPr>
              <w:t>Деривативи з додатною справедливою вартістю</w:t>
            </w:r>
          </w:p>
        </w:tc>
        <w:tc>
          <w:tcPr>
            <w:tcW w:w="995" w:type="dxa"/>
            <w:gridSpan w:val="2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b/>
                <w:sz w:val="10"/>
                <w:szCs w:val="16"/>
              </w:rPr>
              <w:t>Деривативи з від’ємною справедливою вартістю</w:t>
            </w:r>
          </w:p>
        </w:tc>
        <w:tc>
          <w:tcPr>
            <w:tcW w:w="646" w:type="dxa"/>
            <w:vMerge w:val="restart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b/>
                <w:sz w:val="10"/>
                <w:szCs w:val="16"/>
              </w:rPr>
              <w:t>Номінальна сума</w:t>
            </w:r>
          </w:p>
        </w:tc>
        <w:tc>
          <w:tcPr>
            <w:tcW w:w="432" w:type="dxa"/>
            <w:vMerge w:val="restart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b/>
                <w:sz w:val="10"/>
                <w:szCs w:val="16"/>
              </w:rPr>
              <w:t>Резерви</w:t>
            </w:r>
          </w:p>
        </w:tc>
        <w:tc>
          <w:tcPr>
            <w:tcW w:w="715" w:type="dxa"/>
            <w:vMerge w:val="restart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b/>
                <w:sz w:val="10"/>
                <w:szCs w:val="16"/>
              </w:rPr>
              <w:t>Накопичені від’ємні зміни у справедливій вартості через кредитний ризик</w:t>
            </w:r>
          </w:p>
        </w:tc>
        <w:tc>
          <w:tcPr>
            <w:tcW w:w="761" w:type="dxa"/>
            <w:vMerge w:val="restart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b/>
                <w:sz w:val="10"/>
                <w:szCs w:val="16"/>
              </w:rPr>
              <w:t xml:space="preserve">Деривативи з додатною справедливою вартістю </w:t>
            </w:r>
            <w:r w:rsidR="00B97D1F" w:rsidRPr="00D97C52">
              <w:rPr>
                <w:rFonts w:ascii="Times New Roman" w:hAnsi="Times New Roman"/>
                <w:b/>
                <w:sz w:val="10"/>
                <w:szCs w:val="16"/>
              </w:rPr>
              <w:t>-</w:t>
            </w:r>
            <w:r w:rsidRPr="00D97C52">
              <w:rPr>
                <w:rFonts w:ascii="Times New Roman" w:hAnsi="Times New Roman"/>
                <w:b/>
                <w:sz w:val="10"/>
                <w:szCs w:val="16"/>
              </w:rPr>
              <w:t xml:space="preserve"> балансова сума</w:t>
            </w:r>
          </w:p>
        </w:tc>
        <w:tc>
          <w:tcPr>
            <w:tcW w:w="761" w:type="dxa"/>
            <w:vMerge w:val="restart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b/>
                <w:sz w:val="10"/>
                <w:szCs w:val="16"/>
              </w:rPr>
              <w:t xml:space="preserve">Деривативи з від’ємною справедливою вартістю </w:t>
            </w:r>
            <w:r w:rsidR="00B97D1F" w:rsidRPr="00D97C52">
              <w:rPr>
                <w:rFonts w:ascii="Times New Roman" w:hAnsi="Times New Roman"/>
                <w:b/>
                <w:sz w:val="10"/>
                <w:szCs w:val="16"/>
              </w:rPr>
              <w:t>-</w:t>
            </w:r>
            <w:r w:rsidRPr="00D97C52">
              <w:rPr>
                <w:rFonts w:ascii="Times New Roman" w:hAnsi="Times New Roman"/>
                <w:b/>
                <w:sz w:val="10"/>
                <w:szCs w:val="16"/>
              </w:rPr>
              <w:t xml:space="preserve"> балансова сума</w:t>
            </w:r>
          </w:p>
        </w:tc>
        <w:tc>
          <w:tcPr>
            <w:tcW w:w="552" w:type="dxa"/>
            <w:vMerge/>
            <w:vAlign w:val="center"/>
            <w:hideMark/>
          </w:tcPr>
          <w:p w:rsidR="00620827" w:rsidRPr="00D97C52" w:rsidRDefault="00620827" w:rsidP="009418C7">
            <w:pPr>
              <w:jc w:val="center"/>
              <w:rPr>
                <w:rFonts w:ascii="Times New Roman" w:eastAsia="SimSun" w:hAnsi="Times New Roman"/>
                <w:sz w:val="10"/>
                <w:szCs w:val="16"/>
                <w:lang w:eastAsia="uk-UA"/>
              </w:rPr>
            </w:pPr>
          </w:p>
        </w:tc>
        <w:tc>
          <w:tcPr>
            <w:tcW w:w="552" w:type="dxa"/>
            <w:vMerge/>
            <w:vAlign w:val="center"/>
            <w:hideMark/>
          </w:tcPr>
          <w:p w:rsidR="00620827" w:rsidRPr="00D97C52" w:rsidRDefault="00620827" w:rsidP="009418C7">
            <w:pPr>
              <w:jc w:val="center"/>
              <w:rPr>
                <w:rFonts w:ascii="Times New Roman" w:eastAsia="SimSun" w:hAnsi="Times New Roman"/>
                <w:sz w:val="10"/>
                <w:szCs w:val="16"/>
                <w:lang w:eastAsia="uk-UA"/>
              </w:rPr>
            </w:pPr>
          </w:p>
        </w:tc>
      </w:tr>
      <w:tr w:rsidR="00620827" w:rsidRPr="00D97C52" w:rsidTr="009418C7">
        <w:tc>
          <w:tcPr>
            <w:tcW w:w="1341" w:type="dxa"/>
            <w:gridSpan w:val="2"/>
            <w:vMerge/>
            <w:vAlign w:val="center"/>
            <w:hideMark/>
          </w:tcPr>
          <w:p w:rsidR="00620827" w:rsidRPr="00D97C52" w:rsidRDefault="00620827" w:rsidP="009418C7">
            <w:pPr>
              <w:jc w:val="center"/>
              <w:rPr>
                <w:rFonts w:ascii="Times New Roman" w:eastAsia="SimSun" w:hAnsi="Times New Roman"/>
                <w:sz w:val="10"/>
                <w:szCs w:val="16"/>
                <w:lang w:eastAsia="uk-UA"/>
              </w:rPr>
            </w:pPr>
          </w:p>
        </w:tc>
        <w:tc>
          <w:tcPr>
            <w:tcW w:w="862" w:type="dxa"/>
            <w:vMerge/>
            <w:vAlign w:val="center"/>
            <w:hideMark/>
          </w:tcPr>
          <w:p w:rsidR="00620827" w:rsidRPr="00D97C52" w:rsidRDefault="00620827" w:rsidP="009418C7">
            <w:pPr>
              <w:jc w:val="center"/>
              <w:rPr>
                <w:rFonts w:ascii="Times New Roman" w:eastAsia="SimSun" w:hAnsi="Times New Roman"/>
                <w:sz w:val="10"/>
                <w:szCs w:val="16"/>
                <w:lang w:eastAsia="uk-UA"/>
              </w:rPr>
            </w:pPr>
          </w:p>
        </w:tc>
        <w:tc>
          <w:tcPr>
            <w:tcW w:w="862" w:type="dxa"/>
            <w:vMerge/>
            <w:vAlign w:val="center"/>
            <w:hideMark/>
          </w:tcPr>
          <w:p w:rsidR="00620827" w:rsidRPr="00D97C52" w:rsidRDefault="00620827" w:rsidP="009418C7">
            <w:pPr>
              <w:jc w:val="center"/>
              <w:rPr>
                <w:rFonts w:ascii="Times New Roman" w:eastAsia="SimSun" w:hAnsi="Times New Roman"/>
                <w:sz w:val="10"/>
                <w:szCs w:val="16"/>
                <w:lang w:eastAsia="uk-UA"/>
              </w:rPr>
            </w:pPr>
          </w:p>
        </w:tc>
        <w:tc>
          <w:tcPr>
            <w:tcW w:w="614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b/>
                <w:sz w:val="10"/>
                <w:szCs w:val="16"/>
              </w:rPr>
              <w:t>Фінансові активи, утримувані для торгівлі</w:t>
            </w:r>
          </w:p>
        </w:tc>
        <w:tc>
          <w:tcPr>
            <w:tcW w:w="660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b/>
                <w:sz w:val="10"/>
                <w:szCs w:val="16"/>
              </w:rPr>
              <w:t>Торговельні фінансові активи</w:t>
            </w:r>
          </w:p>
        </w:tc>
        <w:tc>
          <w:tcPr>
            <w:tcW w:w="808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b/>
                <w:sz w:val="10"/>
                <w:szCs w:val="16"/>
              </w:rPr>
              <w:t>Неторговельні фінансові активи з обов’язковим відображенням за справедливою вартістю через прибуток або збиток</w:t>
            </w:r>
          </w:p>
        </w:tc>
        <w:tc>
          <w:tcPr>
            <w:tcW w:w="761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b/>
                <w:sz w:val="10"/>
                <w:szCs w:val="16"/>
              </w:rPr>
              <w:t xml:space="preserve">Фінансові активи, </w:t>
            </w:r>
            <w:proofErr w:type="spellStart"/>
            <w:r w:rsidRPr="00D97C52">
              <w:rPr>
                <w:rFonts w:ascii="Times New Roman" w:hAnsi="Times New Roman"/>
                <w:b/>
                <w:sz w:val="10"/>
                <w:szCs w:val="16"/>
              </w:rPr>
              <w:t>обліковувані</w:t>
            </w:r>
            <w:proofErr w:type="spellEnd"/>
            <w:r w:rsidRPr="00D97C52">
              <w:rPr>
                <w:rFonts w:ascii="Times New Roman" w:hAnsi="Times New Roman"/>
                <w:b/>
                <w:sz w:val="10"/>
                <w:szCs w:val="16"/>
              </w:rPr>
              <w:t xml:space="preserve"> за справедливою вартістю через прибуток або збиток</w:t>
            </w:r>
          </w:p>
        </w:tc>
        <w:tc>
          <w:tcPr>
            <w:tcW w:w="778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b/>
                <w:sz w:val="10"/>
                <w:szCs w:val="16"/>
              </w:rPr>
              <w:t xml:space="preserve">Неторговельні </w:t>
            </w:r>
            <w:proofErr w:type="spellStart"/>
            <w:r w:rsidRPr="00D97C52">
              <w:rPr>
                <w:rFonts w:ascii="Times New Roman" w:hAnsi="Times New Roman"/>
                <w:b/>
                <w:sz w:val="10"/>
                <w:szCs w:val="16"/>
              </w:rPr>
              <w:t>недеривативні</w:t>
            </w:r>
            <w:proofErr w:type="spellEnd"/>
            <w:r w:rsidRPr="00D97C52">
              <w:rPr>
                <w:rFonts w:ascii="Times New Roman" w:hAnsi="Times New Roman"/>
                <w:b/>
                <w:sz w:val="10"/>
                <w:szCs w:val="16"/>
              </w:rPr>
              <w:t xml:space="preserve"> фінансові активи, оцінені за справедливою вартістю через прибуток або збиток</w:t>
            </w:r>
          </w:p>
        </w:tc>
        <w:tc>
          <w:tcPr>
            <w:tcW w:w="761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b/>
                <w:sz w:val="10"/>
                <w:szCs w:val="16"/>
              </w:rPr>
              <w:t>Фінансові активи, оцінені за справедливою вартістю через інший сукупний дохід</w:t>
            </w:r>
          </w:p>
        </w:tc>
        <w:tc>
          <w:tcPr>
            <w:tcW w:w="872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b/>
                <w:sz w:val="10"/>
                <w:szCs w:val="16"/>
              </w:rPr>
              <w:t xml:space="preserve">Співвідношення неторговельних </w:t>
            </w:r>
            <w:proofErr w:type="spellStart"/>
            <w:r w:rsidRPr="00D97C52">
              <w:rPr>
                <w:rFonts w:ascii="Times New Roman" w:hAnsi="Times New Roman"/>
                <w:b/>
                <w:sz w:val="10"/>
                <w:szCs w:val="16"/>
              </w:rPr>
              <w:t>недеривативних</w:t>
            </w:r>
            <w:proofErr w:type="spellEnd"/>
            <w:r w:rsidRPr="00D97C52">
              <w:rPr>
                <w:rFonts w:ascii="Times New Roman" w:hAnsi="Times New Roman"/>
                <w:b/>
                <w:sz w:val="10"/>
                <w:szCs w:val="16"/>
              </w:rPr>
              <w:t xml:space="preserve"> фінансових активів, оцінених за справедливою вартістю, до власного капіталу</w:t>
            </w:r>
          </w:p>
        </w:tc>
        <w:tc>
          <w:tcPr>
            <w:tcW w:w="826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b/>
                <w:sz w:val="10"/>
                <w:szCs w:val="16"/>
              </w:rPr>
              <w:t>Фінансові активи, оцінені за амортизованою вартістю</w:t>
            </w:r>
          </w:p>
        </w:tc>
        <w:tc>
          <w:tcPr>
            <w:tcW w:w="778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b/>
                <w:sz w:val="10"/>
                <w:szCs w:val="16"/>
              </w:rPr>
              <w:t xml:space="preserve">Неторговельні </w:t>
            </w:r>
            <w:proofErr w:type="spellStart"/>
            <w:r w:rsidRPr="00D97C52">
              <w:rPr>
                <w:rFonts w:ascii="Times New Roman" w:hAnsi="Times New Roman"/>
                <w:b/>
                <w:sz w:val="10"/>
                <w:szCs w:val="16"/>
              </w:rPr>
              <w:t>недеривативні</w:t>
            </w:r>
            <w:proofErr w:type="spellEnd"/>
            <w:r w:rsidRPr="00D97C52">
              <w:rPr>
                <w:rFonts w:ascii="Times New Roman" w:hAnsi="Times New Roman"/>
                <w:b/>
                <w:sz w:val="10"/>
                <w:szCs w:val="16"/>
              </w:rPr>
              <w:t xml:space="preserve"> фінансові активи, оцінені за методом на основі собівартості</w:t>
            </w:r>
          </w:p>
        </w:tc>
        <w:tc>
          <w:tcPr>
            <w:tcW w:w="772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b/>
                <w:sz w:val="10"/>
                <w:szCs w:val="16"/>
              </w:rPr>
              <w:t xml:space="preserve">Інші неторговельні </w:t>
            </w:r>
            <w:proofErr w:type="spellStart"/>
            <w:r w:rsidRPr="00D97C52">
              <w:rPr>
                <w:rFonts w:ascii="Times New Roman" w:hAnsi="Times New Roman"/>
                <w:b/>
                <w:sz w:val="10"/>
                <w:szCs w:val="16"/>
              </w:rPr>
              <w:t>недеривативні</w:t>
            </w:r>
            <w:proofErr w:type="spellEnd"/>
            <w:r w:rsidRPr="00D97C52">
              <w:rPr>
                <w:rFonts w:ascii="Times New Roman" w:hAnsi="Times New Roman"/>
                <w:b/>
                <w:sz w:val="10"/>
                <w:szCs w:val="16"/>
              </w:rPr>
              <w:t xml:space="preserve"> фінансові активи</w:t>
            </w:r>
          </w:p>
        </w:tc>
        <w:tc>
          <w:tcPr>
            <w:tcW w:w="438" w:type="dxa"/>
            <w:vMerge/>
            <w:vAlign w:val="center"/>
            <w:hideMark/>
          </w:tcPr>
          <w:p w:rsidR="00620827" w:rsidRPr="00D97C52" w:rsidRDefault="00620827" w:rsidP="009418C7">
            <w:pPr>
              <w:jc w:val="center"/>
              <w:rPr>
                <w:rFonts w:ascii="Times New Roman" w:eastAsia="SimSun" w:hAnsi="Times New Roman"/>
                <w:sz w:val="10"/>
                <w:szCs w:val="16"/>
                <w:lang w:eastAsia="uk-UA"/>
              </w:rPr>
            </w:pPr>
          </w:p>
        </w:tc>
        <w:tc>
          <w:tcPr>
            <w:tcW w:w="771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b/>
                <w:sz w:val="10"/>
                <w:szCs w:val="16"/>
              </w:rPr>
              <w:t xml:space="preserve">У тому числі: Короткі позиції позик, які стали предметом зворотного </w:t>
            </w:r>
            <w:proofErr w:type="spellStart"/>
            <w:r w:rsidRPr="00D97C52">
              <w:rPr>
                <w:rFonts w:ascii="Times New Roman" w:hAnsi="Times New Roman"/>
                <w:b/>
                <w:sz w:val="10"/>
                <w:szCs w:val="16"/>
              </w:rPr>
              <w:t>репо</w:t>
            </w:r>
            <w:proofErr w:type="spellEnd"/>
            <w:r w:rsidRPr="00D97C52">
              <w:rPr>
                <w:rFonts w:ascii="Times New Roman" w:hAnsi="Times New Roman"/>
                <w:b/>
                <w:sz w:val="10"/>
                <w:szCs w:val="16"/>
              </w:rPr>
              <w:t xml:space="preserve"> та класифіковані як такі, що утримують для торгівлі, або торговельні фінансові активи</w:t>
            </w:r>
          </w:p>
        </w:tc>
        <w:tc>
          <w:tcPr>
            <w:tcW w:w="652" w:type="dxa"/>
            <w:vMerge/>
            <w:vAlign w:val="center"/>
            <w:hideMark/>
          </w:tcPr>
          <w:p w:rsidR="00620827" w:rsidRPr="00D97C52" w:rsidRDefault="00620827" w:rsidP="009418C7">
            <w:pPr>
              <w:jc w:val="center"/>
              <w:rPr>
                <w:rFonts w:ascii="Times New Roman" w:eastAsia="SimSun" w:hAnsi="Times New Roman"/>
                <w:sz w:val="10"/>
                <w:szCs w:val="16"/>
                <w:lang w:eastAsia="uk-UA"/>
              </w:rPr>
            </w:pPr>
          </w:p>
        </w:tc>
        <w:tc>
          <w:tcPr>
            <w:tcW w:w="862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b/>
                <w:sz w:val="10"/>
                <w:szCs w:val="16"/>
              </w:rPr>
              <w:t xml:space="preserve">у тому числі: позиції фінансових активів, оцінених за справедливою вартістю через інший сукупний дохід, або позиції співвідношення неторговельних </w:t>
            </w:r>
            <w:proofErr w:type="spellStart"/>
            <w:r w:rsidRPr="00D97C52">
              <w:rPr>
                <w:rFonts w:ascii="Times New Roman" w:hAnsi="Times New Roman"/>
                <w:b/>
                <w:sz w:val="10"/>
                <w:szCs w:val="16"/>
              </w:rPr>
              <w:t>недеривативних</w:t>
            </w:r>
            <w:proofErr w:type="spellEnd"/>
            <w:r w:rsidRPr="00D97C52">
              <w:rPr>
                <w:rFonts w:ascii="Times New Roman" w:hAnsi="Times New Roman"/>
                <w:b/>
                <w:sz w:val="10"/>
                <w:szCs w:val="16"/>
              </w:rPr>
              <w:t xml:space="preserve"> фінансових активів, оцінених за справедливою вартістю, до власного капіталу</w:t>
            </w:r>
          </w:p>
        </w:tc>
        <w:tc>
          <w:tcPr>
            <w:tcW w:w="715" w:type="dxa"/>
            <w:vMerge/>
            <w:vAlign w:val="center"/>
            <w:hideMark/>
          </w:tcPr>
          <w:p w:rsidR="00620827" w:rsidRPr="00D97C52" w:rsidRDefault="00620827" w:rsidP="009418C7">
            <w:pPr>
              <w:jc w:val="center"/>
              <w:rPr>
                <w:rFonts w:ascii="Times New Roman" w:eastAsia="SimSun" w:hAnsi="Times New Roman"/>
                <w:sz w:val="10"/>
                <w:szCs w:val="16"/>
                <w:lang w:eastAsia="uk-UA"/>
              </w:rPr>
            </w:pPr>
          </w:p>
        </w:tc>
        <w:tc>
          <w:tcPr>
            <w:tcW w:w="844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b/>
                <w:sz w:val="10"/>
                <w:szCs w:val="16"/>
              </w:rPr>
              <w:t xml:space="preserve">у тому числі: позиції неторговельних фінансових активів з обов’язковим відображенням за справедливою вартістю через прибуток або збиток, позиції фінансових активів, </w:t>
            </w:r>
            <w:proofErr w:type="spellStart"/>
            <w:r w:rsidRPr="00D97C52">
              <w:rPr>
                <w:rFonts w:ascii="Times New Roman" w:hAnsi="Times New Roman"/>
                <w:b/>
                <w:sz w:val="10"/>
                <w:szCs w:val="16"/>
              </w:rPr>
              <w:t>обліковуваних</w:t>
            </w:r>
            <w:proofErr w:type="spellEnd"/>
            <w:r w:rsidRPr="00D97C52">
              <w:rPr>
                <w:rFonts w:ascii="Times New Roman" w:hAnsi="Times New Roman"/>
                <w:b/>
                <w:sz w:val="10"/>
                <w:szCs w:val="16"/>
              </w:rPr>
              <w:t xml:space="preserve"> за справедливою вартістю через прибуток або збиток, або позиції неторговельних фінансових активів, оцінених за справедливою вартістю через прибуток або збиток</w:t>
            </w:r>
          </w:p>
        </w:tc>
        <w:tc>
          <w:tcPr>
            <w:tcW w:w="862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b/>
                <w:sz w:val="10"/>
                <w:szCs w:val="16"/>
              </w:rPr>
              <w:t xml:space="preserve">у тому числі: позиції фінансових активів, оцінених за справедливою вартістю через інший сукупний дохід, або позиції співвідношення неторговельних </w:t>
            </w:r>
            <w:proofErr w:type="spellStart"/>
            <w:r w:rsidRPr="00D97C52">
              <w:rPr>
                <w:rFonts w:ascii="Times New Roman" w:hAnsi="Times New Roman"/>
                <w:b/>
                <w:sz w:val="10"/>
                <w:szCs w:val="16"/>
              </w:rPr>
              <w:t>недеривативних</w:t>
            </w:r>
            <w:proofErr w:type="spellEnd"/>
            <w:r w:rsidRPr="00D97C52">
              <w:rPr>
                <w:rFonts w:ascii="Times New Roman" w:hAnsi="Times New Roman"/>
                <w:b/>
                <w:sz w:val="10"/>
                <w:szCs w:val="16"/>
              </w:rPr>
              <w:t xml:space="preserve"> фінансових активів, оцінених за справедливою вартістю, до власного капіталу</w:t>
            </w:r>
          </w:p>
        </w:tc>
        <w:tc>
          <w:tcPr>
            <w:tcW w:w="568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b/>
                <w:sz w:val="10"/>
                <w:szCs w:val="16"/>
              </w:rPr>
              <w:t>Балансова сума</w:t>
            </w:r>
          </w:p>
        </w:tc>
        <w:tc>
          <w:tcPr>
            <w:tcW w:w="427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b/>
                <w:sz w:val="10"/>
                <w:szCs w:val="16"/>
              </w:rPr>
              <w:t>Умовна сума</w:t>
            </w:r>
          </w:p>
        </w:tc>
        <w:tc>
          <w:tcPr>
            <w:tcW w:w="568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b/>
                <w:sz w:val="10"/>
                <w:szCs w:val="16"/>
              </w:rPr>
              <w:t>Балансова сума</w:t>
            </w:r>
          </w:p>
        </w:tc>
        <w:tc>
          <w:tcPr>
            <w:tcW w:w="427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b/>
                <w:sz w:val="10"/>
                <w:szCs w:val="16"/>
              </w:rPr>
              <w:t>Умовна сума</w:t>
            </w:r>
          </w:p>
        </w:tc>
        <w:tc>
          <w:tcPr>
            <w:tcW w:w="646" w:type="dxa"/>
            <w:vMerge/>
            <w:vAlign w:val="center"/>
            <w:hideMark/>
          </w:tcPr>
          <w:p w:rsidR="00620827" w:rsidRPr="00D97C52" w:rsidRDefault="00620827" w:rsidP="009418C7">
            <w:pPr>
              <w:jc w:val="center"/>
              <w:rPr>
                <w:rFonts w:ascii="Times New Roman" w:eastAsia="SimSun" w:hAnsi="Times New Roman"/>
                <w:sz w:val="10"/>
                <w:szCs w:val="16"/>
                <w:lang w:eastAsia="uk-UA"/>
              </w:rPr>
            </w:pPr>
          </w:p>
        </w:tc>
        <w:tc>
          <w:tcPr>
            <w:tcW w:w="432" w:type="dxa"/>
            <w:vMerge/>
            <w:vAlign w:val="center"/>
            <w:hideMark/>
          </w:tcPr>
          <w:p w:rsidR="00620827" w:rsidRPr="00D97C52" w:rsidRDefault="00620827" w:rsidP="009418C7">
            <w:pPr>
              <w:jc w:val="center"/>
              <w:rPr>
                <w:rFonts w:ascii="Times New Roman" w:eastAsia="SimSun" w:hAnsi="Times New Roman"/>
                <w:sz w:val="10"/>
                <w:szCs w:val="16"/>
                <w:lang w:eastAsia="uk-UA"/>
              </w:rPr>
            </w:pPr>
          </w:p>
        </w:tc>
        <w:tc>
          <w:tcPr>
            <w:tcW w:w="715" w:type="dxa"/>
            <w:vMerge/>
            <w:vAlign w:val="center"/>
            <w:hideMark/>
          </w:tcPr>
          <w:p w:rsidR="00620827" w:rsidRPr="00D97C52" w:rsidRDefault="00620827" w:rsidP="009418C7">
            <w:pPr>
              <w:jc w:val="center"/>
              <w:rPr>
                <w:rFonts w:ascii="Times New Roman" w:eastAsia="SimSun" w:hAnsi="Times New Roman"/>
                <w:sz w:val="10"/>
                <w:szCs w:val="16"/>
                <w:lang w:eastAsia="uk-UA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:rsidR="00620827" w:rsidRPr="00D97C52" w:rsidRDefault="00620827" w:rsidP="009418C7">
            <w:pPr>
              <w:jc w:val="center"/>
              <w:rPr>
                <w:rFonts w:ascii="Times New Roman" w:eastAsia="SimSun" w:hAnsi="Times New Roman"/>
                <w:sz w:val="10"/>
                <w:szCs w:val="16"/>
                <w:lang w:eastAsia="uk-UA"/>
              </w:rPr>
            </w:pPr>
          </w:p>
        </w:tc>
        <w:tc>
          <w:tcPr>
            <w:tcW w:w="761" w:type="dxa"/>
            <w:vMerge/>
            <w:vAlign w:val="center"/>
            <w:hideMark/>
          </w:tcPr>
          <w:p w:rsidR="00620827" w:rsidRPr="00D97C52" w:rsidRDefault="00620827" w:rsidP="009418C7">
            <w:pPr>
              <w:jc w:val="center"/>
              <w:rPr>
                <w:rFonts w:ascii="Times New Roman" w:eastAsia="SimSun" w:hAnsi="Times New Roman"/>
                <w:sz w:val="10"/>
                <w:szCs w:val="16"/>
                <w:lang w:eastAsia="uk-UA"/>
              </w:rPr>
            </w:pPr>
          </w:p>
        </w:tc>
        <w:tc>
          <w:tcPr>
            <w:tcW w:w="552" w:type="dxa"/>
            <w:vMerge/>
            <w:vAlign w:val="center"/>
            <w:hideMark/>
          </w:tcPr>
          <w:p w:rsidR="00620827" w:rsidRPr="00D97C52" w:rsidRDefault="00620827" w:rsidP="009418C7">
            <w:pPr>
              <w:jc w:val="center"/>
              <w:rPr>
                <w:rFonts w:ascii="Times New Roman" w:eastAsia="SimSun" w:hAnsi="Times New Roman"/>
                <w:sz w:val="10"/>
                <w:szCs w:val="16"/>
                <w:lang w:eastAsia="uk-UA"/>
              </w:rPr>
            </w:pPr>
          </w:p>
        </w:tc>
        <w:tc>
          <w:tcPr>
            <w:tcW w:w="552" w:type="dxa"/>
            <w:vMerge/>
            <w:vAlign w:val="center"/>
            <w:hideMark/>
          </w:tcPr>
          <w:p w:rsidR="00620827" w:rsidRPr="00D97C52" w:rsidRDefault="00620827" w:rsidP="009418C7">
            <w:pPr>
              <w:jc w:val="center"/>
              <w:rPr>
                <w:rFonts w:ascii="Times New Roman" w:eastAsia="SimSun" w:hAnsi="Times New Roman"/>
                <w:sz w:val="10"/>
                <w:szCs w:val="16"/>
                <w:lang w:eastAsia="uk-UA"/>
              </w:rPr>
            </w:pPr>
          </w:p>
        </w:tc>
      </w:tr>
      <w:tr w:rsidR="00620827" w:rsidRPr="00D97C52" w:rsidTr="009418C7">
        <w:tc>
          <w:tcPr>
            <w:tcW w:w="1341" w:type="dxa"/>
            <w:gridSpan w:val="2"/>
            <w:vMerge/>
            <w:vAlign w:val="center"/>
            <w:hideMark/>
          </w:tcPr>
          <w:p w:rsidR="00620827" w:rsidRPr="00D97C52" w:rsidRDefault="00620827" w:rsidP="009418C7">
            <w:pPr>
              <w:jc w:val="center"/>
              <w:rPr>
                <w:rFonts w:ascii="Times New Roman" w:eastAsia="SimSun" w:hAnsi="Times New Roman"/>
                <w:sz w:val="10"/>
                <w:szCs w:val="16"/>
                <w:lang w:eastAsia="uk-UA"/>
              </w:rPr>
            </w:pPr>
          </w:p>
        </w:tc>
        <w:tc>
          <w:tcPr>
            <w:tcW w:w="862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010</w:t>
            </w:r>
          </w:p>
        </w:tc>
        <w:tc>
          <w:tcPr>
            <w:tcW w:w="862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020</w:t>
            </w:r>
          </w:p>
        </w:tc>
        <w:tc>
          <w:tcPr>
            <w:tcW w:w="614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030</w:t>
            </w:r>
          </w:p>
        </w:tc>
        <w:tc>
          <w:tcPr>
            <w:tcW w:w="660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040</w:t>
            </w:r>
          </w:p>
        </w:tc>
        <w:tc>
          <w:tcPr>
            <w:tcW w:w="808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050</w:t>
            </w:r>
          </w:p>
        </w:tc>
        <w:tc>
          <w:tcPr>
            <w:tcW w:w="761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060</w:t>
            </w:r>
          </w:p>
        </w:tc>
        <w:tc>
          <w:tcPr>
            <w:tcW w:w="778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070</w:t>
            </w:r>
          </w:p>
        </w:tc>
        <w:tc>
          <w:tcPr>
            <w:tcW w:w="761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080</w:t>
            </w:r>
          </w:p>
        </w:tc>
        <w:tc>
          <w:tcPr>
            <w:tcW w:w="872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090</w:t>
            </w:r>
          </w:p>
        </w:tc>
        <w:tc>
          <w:tcPr>
            <w:tcW w:w="826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100</w:t>
            </w:r>
          </w:p>
        </w:tc>
        <w:tc>
          <w:tcPr>
            <w:tcW w:w="778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110</w:t>
            </w:r>
          </w:p>
        </w:tc>
        <w:tc>
          <w:tcPr>
            <w:tcW w:w="772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120</w:t>
            </w:r>
          </w:p>
        </w:tc>
        <w:tc>
          <w:tcPr>
            <w:tcW w:w="438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130</w:t>
            </w:r>
          </w:p>
        </w:tc>
        <w:tc>
          <w:tcPr>
            <w:tcW w:w="771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140</w:t>
            </w:r>
          </w:p>
        </w:tc>
        <w:tc>
          <w:tcPr>
            <w:tcW w:w="652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150</w:t>
            </w:r>
          </w:p>
        </w:tc>
        <w:tc>
          <w:tcPr>
            <w:tcW w:w="862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160</w:t>
            </w:r>
          </w:p>
        </w:tc>
        <w:tc>
          <w:tcPr>
            <w:tcW w:w="715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170</w:t>
            </w:r>
          </w:p>
        </w:tc>
        <w:tc>
          <w:tcPr>
            <w:tcW w:w="844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180</w:t>
            </w:r>
          </w:p>
        </w:tc>
        <w:tc>
          <w:tcPr>
            <w:tcW w:w="862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190</w:t>
            </w:r>
          </w:p>
        </w:tc>
        <w:tc>
          <w:tcPr>
            <w:tcW w:w="568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200</w:t>
            </w:r>
          </w:p>
        </w:tc>
        <w:tc>
          <w:tcPr>
            <w:tcW w:w="427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210</w:t>
            </w:r>
          </w:p>
        </w:tc>
        <w:tc>
          <w:tcPr>
            <w:tcW w:w="568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220</w:t>
            </w:r>
          </w:p>
        </w:tc>
        <w:tc>
          <w:tcPr>
            <w:tcW w:w="427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230</w:t>
            </w:r>
          </w:p>
        </w:tc>
        <w:tc>
          <w:tcPr>
            <w:tcW w:w="646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240</w:t>
            </w:r>
          </w:p>
        </w:tc>
        <w:tc>
          <w:tcPr>
            <w:tcW w:w="432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250</w:t>
            </w:r>
          </w:p>
        </w:tc>
        <w:tc>
          <w:tcPr>
            <w:tcW w:w="715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260</w:t>
            </w:r>
          </w:p>
        </w:tc>
        <w:tc>
          <w:tcPr>
            <w:tcW w:w="761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270</w:t>
            </w:r>
          </w:p>
        </w:tc>
        <w:tc>
          <w:tcPr>
            <w:tcW w:w="761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280</w:t>
            </w:r>
          </w:p>
        </w:tc>
        <w:tc>
          <w:tcPr>
            <w:tcW w:w="552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290</w:t>
            </w:r>
          </w:p>
        </w:tc>
        <w:tc>
          <w:tcPr>
            <w:tcW w:w="552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300</w:t>
            </w:r>
          </w:p>
        </w:tc>
      </w:tr>
      <w:tr w:rsidR="00620827" w:rsidRPr="00D97C52" w:rsidTr="009418C7">
        <w:tc>
          <w:tcPr>
            <w:tcW w:w="346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010</w:t>
            </w:r>
          </w:p>
        </w:tc>
        <w:tc>
          <w:tcPr>
            <w:tcW w:w="99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Усього експозицій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14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60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0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7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26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3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1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44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6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27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6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27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46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3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1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</w:tr>
      <w:tr w:rsidR="00620827" w:rsidRPr="00D97C52" w:rsidTr="009418C7">
        <w:tc>
          <w:tcPr>
            <w:tcW w:w="22248" w:type="dxa"/>
            <w:gridSpan w:val="32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b/>
                <w:sz w:val="10"/>
                <w:szCs w:val="16"/>
              </w:rPr>
              <w:t xml:space="preserve">РОЗПОДІЛ СУКУПНИХ ЕКСПОЗИЦІЙ ЗА РИЗИКАМИ, РЕГУЛЯТОРНИМИ ПІДХОДАМИ ТА КЛАСАМИ ЕКСПОЗИЦІЙ: </w:t>
            </w:r>
          </w:p>
        </w:tc>
      </w:tr>
      <w:tr w:rsidR="00620827" w:rsidRPr="00D97C52" w:rsidTr="009418C7">
        <w:tc>
          <w:tcPr>
            <w:tcW w:w="346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020</w:t>
            </w:r>
          </w:p>
        </w:tc>
        <w:tc>
          <w:tcPr>
            <w:tcW w:w="99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Експозиції до кредитного ризику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14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60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0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7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26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3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1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44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6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27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6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27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46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3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1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</w:tr>
      <w:tr w:rsidR="00620827" w:rsidRPr="00D97C52" w:rsidTr="009418C7">
        <w:tc>
          <w:tcPr>
            <w:tcW w:w="346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030</w:t>
            </w:r>
          </w:p>
        </w:tc>
        <w:tc>
          <w:tcPr>
            <w:tcW w:w="99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Стандартизований підхід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14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60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0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7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26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3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1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44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6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27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6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27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46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3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1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</w:tr>
      <w:tr w:rsidR="00620827" w:rsidRPr="00D97C52" w:rsidTr="009418C7">
        <w:tc>
          <w:tcPr>
            <w:tcW w:w="346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040</w:t>
            </w:r>
          </w:p>
        </w:tc>
        <w:tc>
          <w:tcPr>
            <w:tcW w:w="99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Центральні уряди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14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60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0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7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26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3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1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44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6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27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6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27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46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3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1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</w:tr>
      <w:tr w:rsidR="00620827" w:rsidRPr="00D97C52" w:rsidTr="009418C7">
        <w:tc>
          <w:tcPr>
            <w:tcW w:w="346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050</w:t>
            </w:r>
          </w:p>
        </w:tc>
        <w:tc>
          <w:tcPr>
            <w:tcW w:w="99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Регіональні уряди або місцеві органи влади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14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60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0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7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26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3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1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44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6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27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6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27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46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3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1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</w:tr>
      <w:tr w:rsidR="00620827" w:rsidRPr="00D97C52" w:rsidTr="009418C7">
        <w:tc>
          <w:tcPr>
            <w:tcW w:w="346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060</w:t>
            </w:r>
          </w:p>
        </w:tc>
        <w:tc>
          <w:tcPr>
            <w:tcW w:w="99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Суб’єкти публічного сектора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14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60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0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7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26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3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1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44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6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27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6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27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46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3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1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</w:tr>
      <w:tr w:rsidR="00620827" w:rsidRPr="00D97C52" w:rsidTr="009418C7">
        <w:tc>
          <w:tcPr>
            <w:tcW w:w="346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070</w:t>
            </w:r>
          </w:p>
        </w:tc>
        <w:tc>
          <w:tcPr>
            <w:tcW w:w="99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Міжнародні організації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14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60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0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7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26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3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1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44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6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27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6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27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46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3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1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</w:tr>
      <w:tr w:rsidR="00620827" w:rsidRPr="00D97C52" w:rsidTr="009418C7">
        <w:tc>
          <w:tcPr>
            <w:tcW w:w="346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075</w:t>
            </w:r>
          </w:p>
        </w:tc>
        <w:tc>
          <w:tcPr>
            <w:tcW w:w="99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Інші експозиції загального уряду, до яких застосовний стандартизований підхід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14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60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0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7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26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3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1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44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6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27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6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27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46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3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1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</w:tr>
      <w:tr w:rsidR="00620827" w:rsidRPr="00D97C52" w:rsidTr="009418C7">
        <w:tc>
          <w:tcPr>
            <w:tcW w:w="346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080</w:t>
            </w:r>
          </w:p>
        </w:tc>
        <w:tc>
          <w:tcPr>
            <w:tcW w:w="99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Підхід на основі внутрішніх рейтингів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14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60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0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7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26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3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1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44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6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27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6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27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46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3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1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</w:tr>
      <w:tr w:rsidR="00620827" w:rsidRPr="00D97C52" w:rsidTr="009418C7">
        <w:tc>
          <w:tcPr>
            <w:tcW w:w="346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090</w:t>
            </w:r>
          </w:p>
        </w:tc>
        <w:tc>
          <w:tcPr>
            <w:tcW w:w="99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Центральні уряди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14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60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0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7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26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3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1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44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6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27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6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27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46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3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1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</w:tr>
      <w:tr w:rsidR="00620827" w:rsidRPr="00D97C52" w:rsidTr="009418C7">
        <w:tc>
          <w:tcPr>
            <w:tcW w:w="346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100</w:t>
            </w:r>
          </w:p>
        </w:tc>
        <w:tc>
          <w:tcPr>
            <w:tcW w:w="99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Регіональні уряди або місцеві органи влади [центральні уряди]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14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60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0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7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26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3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1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44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6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27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6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27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46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3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1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</w:tr>
      <w:tr w:rsidR="00620827" w:rsidRPr="00D97C52" w:rsidTr="009418C7">
        <w:tc>
          <w:tcPr>
            <w:tcW w:w="346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110</w:t>
            </w:r>
          </w:p>
        </w:tc>
        <w:tc>
          <w:tcPr>
            <w:tcW w:w="99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Регіональні уряди або місцеві органи влади [установи]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14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60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0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7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26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3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1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44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6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27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6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27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46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3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1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</w:tr>
      <w:tr w:rsidR="00620827" w:rsidRPr="00D97C52" w:rsidTr="009418C7">
        <w:tc>
          <w:tcPr>
            <w:tcW w:w="346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120</w:t>
            </w:r>
          </w:p>
        </w:tc>
        <w:tc>
          <w:tcPr>
            <w:tcW w:w="99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Суб’єкти публічного сектора [центральні уряди]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14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60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0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7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26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3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1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44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6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27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6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27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46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3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1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</w:tr>
      <w:tr w:rsidR="00620827" w:rsidRPr="00D97C52" w:rsidTr="009418C7">
        <w:tc>
          <w:tcPr>
            <w:tcW w:w="346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130</w:t>
            </w:r>
          </w:p>
        </w:tc>
        <w:tc>
          <w:tcPr>
            <w:tcW w:w="99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Суб’єкти публічного сектора [установи]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14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60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0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7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26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3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1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44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6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27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6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27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46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3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1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</w:tr>
      <w:tr w:rsidR="00620827" w:rsidRPr="00D97C52" w:rsidTr="009418C7">
        <w:tc>
          <w:tcPr>
            <w:tcW w:w="346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140</w:t>
            </w:r>
          </w:p>
        </w:tc>
        <w:tc>
          <w:tcPr>
            <w:tcW w:w="99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Міжнародні організації [центральні уряди]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14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60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0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7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26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3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1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44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6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27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6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27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46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3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1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</w:tr>
      <w:tr w:rsidR="00620827" w:rsidRPr="00D97C52" w:rsidTr="009418C7">
        <w:tc>
          <w:tcPr>
            <w:tcW w:w="346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155</w:t>
            </w:r>
          </w:p>
        </w:tc>
        <w:tc>
          <w:tcPr>
            <w:tcW w:w="99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Інші експозиції загального уряду, до яких застосовний підхід на основі внутрішніх рейтингів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14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60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0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7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26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3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1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44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6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27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6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27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46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3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1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</w:tr>
      <w:tr w:rsidR="00620827" w:rsidRPr="00D97C52" w:rsidTr="009418C7">
        <w:tc>
          <w:tcPr>
            <w:tcW w:w="346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160</w:t>
            </w:r>
          </w:p>
        </w:tc>
        <w:tc>
          <w:tcPr>
            <w:tcW w:w="99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Експозиції до ринкового ризику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14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60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0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7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26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3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1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44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6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27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6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27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46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3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1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</w:tr>
      <w:tr w:rsidR="00620827" w:rsidRPr="00D97C52" w:rsidTr="009418C7">
        <w:tc>
          <w:tcPr>
            <w:tcW w:w="22248" w:type="dxa"/>
            <w:gridSpan w:val="32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b/>
                <w:sz w:val="10"/>
                <w:szCs w:val="16"/>
              </w:rPr>
              <w:t xml:space="preserve">РОЗПОДІЛ СУКУПНИХ ЕКСПОЗИЦІЙ ЗА ЗАЛИШКОВИМИ СТРОКАМИ ПОГАШЕННЯ: </w:t>
            </w:r>
          </w:p>
        </w:tc>
      </w:tr>
      <w:tr w:rsidR="00620827" w:rsidRPr="00D97C52" w:rsidTr="009418C7">
        <w:tc>
          <w:tcPr>
            <w:tcW w:w="346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170</w:t>
            </w:r>
          </w:p>
        </w:tc>
        <w:tc>
          <w:tcPr>
            <w:tcW w:w="99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[ 0</w:t>
            </w:r>
            <w:r w:rsidR="009418C7" w:rsidRPr="00D97C52">
              <w:rPr>
                <w:rFonts w:ascii="Times New Roman" w:hAnsi="Times New Roman"/>
                <w:sz w:val="10"/>
                <w:szCs w:val="16"/>
              </w:rPr>
              <w:t>-</w:t>
            </w:r>
            <w:r w:rsidRPr="00D97C52">
              <w:rPr>
                <w:rFonts w:ascii="Times New Roman" w:hAnsi="Times New Roman"/>
                <w:sz w:val="10"/>
                <w:szCs w:val="16"/>
              </w:rPr>
              <w:t xml:space="preserve">3 місяці [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14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60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0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7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26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3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1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44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6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27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6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27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46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3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1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</w:tr>
      <w:tr w:rsidR="00620827" w:rsidRPr="00D97C52" w:rsidTr="009418C7">
        <w:tc>
          <w:tcPr>
            <w:tcW w:w="346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180</w:t>
            </w:r>
          </w:p>
        </w:tc>
        <w:tc>
          <w:tcPr>
            <w:tcW w:w="99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[ 3 місяці</w:t>
            </w:r>
            <w:r w:rsidR="009418C7" w:rsidRPr="00D97C52">
              <w:rPr>
                <w:rFonts w:ascii="Times New Roman" w:hAnsi="Times New Roman"/>
                <w:sz w:val="10"/>
                <w:szCs w:val="16"/>
              </w:rPr>
              <w:t>-</w:t>
            </w:r>
            <w:r w:rsidRPr="00D97C52">
              <w:rPr>
                <w:rFonts w:ascii="Times New Roman" w:hAnsi="Times New Roman"/>
                <w:sz w:val="10"/>
                <w:szCs w:val="16"/>
              </w:rPr>
              <w:t xml:space="preserve">1 рік [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14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60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0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7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26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3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1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44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6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27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6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27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46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3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1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</w:tr>
      <w:tr w:rsidR="00620827" w:rsidRPr="00D97C52" w:rsidTr="009418C7">
        <w:tc>
          <w:tcPr>
            <w:tcW w:w="346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190</w:t>
            </w:r>
          </w:p>
        </w:tc>
        <w:tc>
          <w:tcPr>
            <w:tcW w:w="99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[ 1 рік</w:t>
            </w:r>
            <w:r w:rsidR="009418C7" w:rsidRPr="00D97C52">
              <w:rPr>
                <w:rFonts w:ascii="Times New Roman" w:hAnsi="Times New Roman"/>
                <w:sz w:val="10"/>
                <w:szCs w:val="16"/>
              </w:rPr>
              <w:t>-</w:t>
            </w:r>
            <w:r w:rsidRPr="00D97C52">
              <w:rPr>
                <w:rFonts w:ascii="Times New Roman" w:hAnsi="Times New Roman"/>
                <w:sz w:val="10"/>
                <w:szCs w:val="16"/>
              </w:rPr>
              <w:t xml:space="preserve">2 роки [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14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60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0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7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26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3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1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44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6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27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6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27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46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3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1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</w:tr>
      <w:tr w:rsidR="00620827" w:rsidRPr="00D97C52" w:rsidTr="009418C7">
        <w:tc>
          <w:tcPr>
            <w:tcW w:w="346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200</w:t>
            </w:r>
          </w:p>
        </w:tc>
        <w:tc>
          <w:tcPr>
            <w:tcW w:w="99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[ 2 роки</w:t>
            </w:r>
            <w:r w:rsidR="009418C7" w:rsidRPr="00D97C52">
              <w:rPr>
                <w:rFonts w:ascii="Times New Roman" w:hAnsi="Times New Roman"/>
                <w:sz w:val="10"/>
                <w:szCs w:val="16"/>
              </w:rPr>
              <w:t>-</w:t>
            </w:r>
            <w:r w:rsidRPr="00D97C52">
              <w:rPr>
                <w:rFonts w:ascii="Times New Roman" w:hAnsi="Times New Roman"/>
                <w:sz w:val="10"/>
                <w:szCs w:val="16"/>
              </w:rPr>
              <w:t xml:space="preserve">3 роки [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14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60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0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7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26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3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1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44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6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27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6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27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46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3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1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</w:tr>
      <w:tr w:rsidR="00620827" w:rsidRPr="00D97C52" w:rsidTr="009418C7">
        <w:tc>
          <w:tcPr>
            <w:tcW w:w="346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210</w:t>
            </w:r>
          </w:p>
        </w:tc>
        <w:tc>
          <w:tcPr>
            <w:tcW w:w="99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[ 3 роки</w:t>
            </w:r>
            <w:r w:rsidR="009418C7" w:rsidRPr="00D97C52">
              <w:rPr>
                <w:rFonts w:ascii="Times New Roman" w:hAnsi="Times New Roman"/>
                <w:sz w:val="10"/>
                <w:szCs w:val="16"/>
              </w:rPr>
              <w:t>-</w:t>
            </w:r>
            <w:r w:rsidRPr="00D97C52">
              <w:rPr>
                <w:rFonts w:ascii="Times New Roman" w:hAnsi="Times New Roman"/>
                <w:sz w:val="10"/>
                <w:szCs w:val="16"/>
              </w:rPr>
              <w:t xml:space="preserve">5 років [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14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60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0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7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26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3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1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44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6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27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6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27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46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3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1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</w:tr>
      <w:tr w:rsidR="00620827" w:rsidRPr="00D97C52" w:rsidTr="009418C7">
        <w:tc>
          <w:tcPr>
            <w:tcW w:w="346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220</w:t>
            </w:r>
          </w:p>
        </w:tc>
        <w:tc>
          <w:tcPr>
            <w:tcW w:w="99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[ 5 років</w:t>
            </w:r>
            <w:r w:rsidR="009418C7" w:rsidRPr="00D97C52">
              <w:rPr>
                <w:rFonts w:ascii="Times New Roman" w:hAnsi="Times New Roman"/>
                <w:sz w:val="10"/>
                <w:szCs w:val="16"/>
              </w:rPr>
              <w:t>-</w:t>
            </w:r>
            <w:r w:rsidRPr="00D97C52">
              <w:rPr>
                <w:rFonts w:ascii="Times New Roman" w:hAnsi="Times New Roman"/>
                <w:sz w:val="10"/>
                <w:szCs w:val="16"/>
              </w:rPr>
              <w:t xml:space="preserve">10 років [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14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60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0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7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26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3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1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44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6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27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6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27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46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3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1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</w:tr>
      <w:tr w:rsidR="00620827" w:rsidRPr="00D97C52" w:rsidTr="009418C7">
        <w:tc>
          <w:tcPr>
            <w:tcW w:w="346" w:type="dxa"/>
            <w:hideMark/>
          </w:tcPr>
          <w:p w:rsidR="00620827" w:rsidRPr="00D97C52" w:rsidRDefault="00620827" w:rsidP="009418C7">
            <w:pPr>
              <w:pStyle w:val="a3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230</w:t>
            </w:r>
          </w:p>
        </w:tc>
        <w:tc>
          <w:tcPr>
            <w:tcW w:w="99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>[10 років</w:t>
            </w:r>
            <w:r w:rsidR="009418C7" w:rsidRPr="00D97C52">
              <w:rPr>
                <w:rFonts w:ascii="Times New Roman" w:hAnsi="Times New Roman"/>
                <w:sz w:val="10"/>
                <w:szCs w:val="16"/>
              </w:rPr>
              <w:t>-</w:t>
            </w:r>
            <w:r w:rsidRPr="00D97C52">
              <w:rPr>
                <w:rFonts w:ascii="Times New Roman" w:hAnsi="Times New Roman"/>
                <w:sz w:val="10"/>
                <w:szCs w:val="16"/>
              </w:rPr>
              <w:t xml:space="preserve">більше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14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60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0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7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26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3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7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1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44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86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6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27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68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27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646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43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15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761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  <w:tc>
          <w:tcPr>
            <w:tcW w:w="552" w:type="dxa"/>
            <w:hideMark/>
          </w:tcPr>
          <w:p w:rsidR="00620827" w:rsidRPr="00D97C52" w:rsidRDefault="00620827">
            <w:pPr>
              <w:pStyle w:val="a3"/>
              <w:rPr>
                <w:rFonts w:ascii="Times New Roman" w:hAnsi="Times New Roman"/>
                <w:sz w:val="10"/>
                <w:szCs w:val="16"/>
              </w:rPr>
            </w:pPr>
            <w:r w:rsidRPr="00D97C52">
              <w:rPr>
                <w:rFonts w:ascii="Times New Roman" w:hAnsi="Times New Roman"/>
                <w:sz w:val="10"/>
                <w:szCs w:val="16"/>
              </w:rPr>
              <w:t xml:space="preserve"> </w:t>
            </w:r>
          </w:p>
        </w:tc>
      </w:tr>
    </w:tbl>
    <w:p w:rsidR="00CB3AED" w:rsidRDefault="00CB3AED" w:rsidP="00620827"/>
    <w:sectPr w:rsidR="00CB3AED" w:rsidSect="009418C7">
      <w:pgSz w:w="23811" w:h="16838" w:orient="landscape" w:code="8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27"/>
    <w:rsid w:val="00620827"/>
    <w:rsid w:val="009418C7"/>
    <w:rsid w:val="00B97D1F"/>
    <w:rsid w:val="00CB3AED"/>
    <w:rsid w:val="00CB4128"/>
    <w:rsid w:val="00D9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BC761-04BD-4AC2-B6B0-7027A541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28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customStyle="1" w:styleId="a3">
    <w:name w:val="Обычный (веб)"/>
    <w:basedOn w:val="a"/>
    <w:semiHidden/>
    <w:rsid w:val="00620827"/>
    <w:pPr>
      <w:spacing w:before="100" w:beforeAutospacing="1" w:after="100" w:afterAutospacing="1"/>
    </w:pPr>
    <w:rPr>
      <w:rFonts w:ascii="Calibri" w:eastAsia="SimSun" w:hAnsi="Calibri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3447</Words>
  <Characters>1966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3</cp:revision>
  <dcterms:created xsi:type="dcterms:W3CDTF">2023-08-24T14:22:00Z</dcterms:created>
  <dcterms:modified xsi:type="dcterms:W3CDTF">2023-10-17T13:36:00Z</dcterms:modified>
</cp:coreProperties>
</file>