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8A" w:rsidRPr="00A7088A" w:rsidRDefault="00A7088A" w:rsidP="00A7088A">
      <w:pPr>
        <w:ind w:left="10632"/>
        <w:jc w:val="center"/>
        <w:rPr>
          <w:rFonts w:ascii="Times New Roman" w:hAnsi="Times New Roman" w:cs="Times New Roman"/>
          <w:sz w:val="24"/>
          <w:szCs w:val="24"/>
        </w:rPr>
      </w:pPr>
      <w:r w:rsidRPr="00A7088A">
        <w:rPr>
          <w:rFonts w:ascii="Times New Roman" w:hAnsi="Times New Roman" w:cs="Times New Roman"/>
          <w:sz w:val="24"/>
          <w:szCs w:val="24"/>
        </w:rPr>
        <w:t>Додаток 3</w:t>
      </w:r>
      <w:r w:rsidRPr="00A7088A">
        <w:rPr>
          <w:rFonts w:ascii="Times New Roman" w:hAnsi="Times New Roman" w:cs="Times New Roman"/>
          <w:sz w:val="24"/>
          <w:szCs w:val="24"/>
        </w:rPr>
        <w:br/>
        <w:t>до Програми</w:t>
      </w:r>
    </w:p>
    <w:p w:rsidR="00A7088A" w:rsidRPr="00A7088A" w:rsidRDefault="00A7088A" w:rsidP="00A7088A">
      <w:pPr>
        <w:jc w:val="center"/>
        <w:rPr>
          <w:rFonts w:ascii="Times New Roman" w:hAnsi="Times New Roman" w:cs="Times New Roman"/>
          <w:b/>
          <w:sz w:val="28"/>
          <w:szCs w:val="28"/>
        </w:rPr>
      </w:pPr>
      <w:r w:rsidRPr="00A7088A">
        <w:rPr>
          <w:rFonts w:ascii="Times New Roman" w:hAnsi="Times New Roman" w:cs="Times New Roman"/>
          <w:b/>
          <w:sz w:val="28"/>
          <w:szCs w:val="28"/>
        </w:rPr>
        <w:t xml:space="preserve">ОЧІКУВАНІ РЕЗУЛЬТАТИ </w:t>
      </w:r>
      <w:r w:rsidRPr="00A7088A">
        <w:rPr>
          <w:rFonts w:ascii="Times New Roman" w:hAnsi="Times New Roman" w:cs="Times New Roman"/>
          <w:b/>
          <w:sz w:val="28"/>
          <w:szCs w:val="28"/>
        </w:rPr>
        <w:br/>
        <w:t xml:space="preserve">виконання Державної соціальної програми запобігання та протидії домашньому насильству </w:t>
      </w:r>
      <w:r w:rsidRPr="00A7088A">
        <w:rPr>
          <w:rFonts w:ascii="Times New Roman" w:hAnsi="Times New Roman" w:cs="Times New Roman"/>
          <w:b/>
          <w:sz w:val="28"/>
          <w:szCs w:val="28"/>
        </w:rPr>
        <w:br/>
        <w:t>та насильству за ознакою статі на період до 2025 року</w:t>
      </w:r>
    </w:p>
    <w:tbl>
      <w:tblPr>
        <w:tblW w:w="5000" w:type="pct"/>
        <w:tblLook w:val="04A0" w:firstRow="1" w:lastRow="0" w:firstColumn="1" w:lastColumn="0" w:noHBand="0" w:noVBand="1"/>
      </w:tblPr>
      <w:tblGrid>
        <w:gridCol w:w="3169"/>
        <w:gridCol w:w="5631"/>
        <w:gridCol w:w="1602"/>
        <w:gridCol w:w="969"/>
        <w:gridCol w:w="754"/>
        <w:gridCol w:w="754"/>
        <w:gridCol w:w="754"/>
        <w:gridCol w:w="754"/>
        <w:gridCol w:w="751"/>
      </w:tblGrid>
      <w:tr w:rsidR="00A7088A" w:rsidRPr="00C7642C" w:rsidTr="00811001">
        <w:trPr>
          <w:trHeight w:val="20"/>
          <w:tblHeader/>
        </w:trPr>
        <w:tc>
          <w:tcPr>
            <w:tcW w:w="1047" w:type="pct"/>
            <w:vMerge w:val="restart"/>
            <w:tcBorders>
              <w:top w:val="single" w:sz="4" w:space="0" w:color="auto"/>
              <w:bottom w:val="single" w:sz="4" w:space="0" w:color="auto"/>
              <w:right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Найменування завдання</w:t>
            </w:r>
          </w:p>
        </w:tc>
        <w:tc>
          <w:tcPr>
            <w:tcW w:w="1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Найменування показника виконання завдання</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Одиниця виміру</w:t>
            </w:r>
          </w:p>
        </w:tc>
        <w:tc>
          <w:tcPr>
            <w:tcW w:w="1564" w:type="pct"/>
            <w:gridSpan w:val="6"/>
            <w:tcBorders>
              <w:top w:val="single" w:sz="4" w:space="0" w:color="auto"/>
              <w:left w:val="single" w:sz="4" w:space="0" w:color="auto"/>
              <w:bottom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Значення показника</w:t>
            </w:r>
          </w:p>
        </w:tc>
      </w:tr>
      <w:tr w:rsidR="00A7088A" w:rsidRPr="00C7642C" w:rsidTr="00811001">
        <w:trPr>
          <w:trHeight w:val="20"/>
          <w:tblHeader/>
        </w:trPr>
        <w:tc>
          <w:tcPr>
            <w:tcW w:w="1047" w:type="pct"/>
            <w:vMerge/>
            <w:tcBorders>
              <w:top w:val="single" w:sz="4" w:space="0" w:color="auto"/>
              <w:bottom w:val="single" w:sz="4" w:space="0" w:color="auto"/>
              <w:right w:val="single" w:sz="4" w:space="0" w:color="auto"/>
            </w:tcBorders>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1860" w:type="pct"/>
            <w:vMerge/>
            <w:tcBorders>
              <w:top w:val="single" w:sz="4" w:space="0" w:color="auto"/>
              <w:left w:val="single" w:sz="4" w:space="0" w:color="auto"/>
              <w:bottom w:val="single" w:sz="4" w:space="0" w:color="auto"/>
              <w:right w:val="single" w:sz="4" w:space="0" w:color="auto"/>
            </w:tcBorders>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3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усього</w:t>
            </w:r>
          </w:p>
        </w:tc>
        <w:tc>
          <w:tcPr>
            <w:tcW w:w="1244" w:type="pct"/>
            <w:gridSpan w:val="5"/>
            <w:tcBorders>
              <w:top w:val="single" w:sz="4" w:space="0" w:color="auto"/>
              <w:left w:val="single" w:sz="4" w:space="0" w:color="auto"/>
              <w:bottom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у тому числі за роками</w:t>
            </w:r>
          </w:p>
        </w:tc>
      </w:tr>
      <w:tr w:rsidR="00A7088A" w:rsidRPr="00C7642C" w:rsidTr="00811001">
        <w:trPr>
          <w:trHeight w:val="20"/>
          <w:tblHeader/>
        </w:trPr>
        <w:tc>
          <w:tcPr>
            <w:tcW w:w="1047" w:type="pct"/>
            <w:vMerge/>
            <w:tcBorders>
              <w:top w:val="single" w:sz="4" w:space="0" w:color="auto"/>
              <w:bottom w:val="single" w:sz="4" w:space="0" w:color="auto"/>
              <w:right w:val="single" w:sz="4" w:space="0" w:color="auto"/>
            </w:tcBorders>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1860" w:type="pct"/>
            <w:vMerge/>
            <w:tcBorders>
              <w:top w:val="single" w:sz="4" w:space="0" w:color="auto"/>
              <w:left w:val="single" w:sz="4" w:space="0" w:color="auto"/>
              <w:bottom w:val="single" w:sz="4" w:space="0" w:color="auto"/>
              <w:right w:val="single" w:sz="4" w:space="0" w:color="auto"/>
            </w:tcBorders>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2021</w:t>
            </w:r>
          </w:p>
        </w:tc>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2022</w:t>
            </w:r>
          </w:p>
        </w:tc>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2023</w:t>
            </w:r>
          </w:p>
        </w:tc>
        <w:tc>
          <w:tcPr>
            <w:tcW w:w="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2024</w:t>
            </w:r>
          </w:p>
        </w:tc>
        <w:tc>
          <w:tcPr>
            <w:tcW w:w="248" w:type="pct"/>
            <w:tcBorders>
              <w:top w:val="single" w:sz="4" w:space="0" w:color="auto"/>
              <w:left w:val="single" w:sz="4" w:space="0" w:color="auto"/>
              <w:bottom w:val="single" w:sz="4" w:space="0" w:color="auto"/>
            </w:tcBorders>
            <w:shd w:val="clear" w:color="000000" w:fill="FFFFFF"/>
            <w:vAlign w:val="center"/>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2025</w:t>
            </w:r>
          </w:p>
        </w:tc>
      </w:tr>
      <w:tr w:rsidR="00A7088A" w:rsidRPr="00C7642C" w:rsidTr="00811001">
        <w:trPr>
          <w:trHeight w:val="20"/>
        </w:trPr>
        <w:tc>
          <w:tcPr>
            <w:tcW w:w="1047" w:type="pct"/>
            <w:vMerge w:val="restart"/>
            <w:shd w:val="clear" w:color="FFCC99" w:fill="FFFFFF"/>
            <w:hideMark/>
          </w:tcPr>
          <w:p w:rsidR="00A7088A" w:rsidRPr="00C7642C" w:rsidRDefault="00A7088A" w:rsidP="00811001">
            <w:pPr>
              <w:pStyle w:val="a5"/>
              <w:widowControl w:val="0"/>
              <w:spacing w:before="24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1. Здійснення збору, аналізу і поширення інформації про домашнє насильство та/або насильство за ознакою статі, удосконалення системи показників у формах державної статистичної звітності щодо запобігання та протидії домашньому насильству та/або насильству за ознакою статі</w:t>
            </w:r>
          </w:p>
        </w:tc>
        <w:tc>
          <w:tcPr>
            <w:tcW w:w="1860" w:type="pct"/>
            <w:shd w:val="clear" w:color="FFCC99" w:fill="FFFFFF"/>
            <w:hideMark/>
          </w:tcPr>
          <w:p w:rsidR="00A7088A" w:rsidRPr="00C7642C" w:rsidRDefault="00A7088A" w:rsidP="00811001">
            <w:pPr>
              <w:pStyle w:val="a5"/>
              <w:widowControl w:val="0"/>
              <w:spacing w:before="240"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xml:space="preserve">кількість затверджених форм звітності про домашнє насильство та/або насильство за ознакою статі з розподілом за віком, характером відносин між особою, яка постраждала від домашнього насильства та насильства за ознакою статі (далі </w:t>
            </w:r>
            <w:r w:rsidRPr="00C7642C">
              <w:rPr>
                <w:rFonts w:ascii="Times New Roman" w:hAnsi="Times New Roman"/>
                <w:sz w:val="24"/>
                <w:szCs w:val="24"/>
              </w:rPr>
              <w:t xml:space="preserve">- постраждала особа) </w:t>
            </w:r>
            <w:r w:rsidRPr="00C7642C">
              <w:rPr>
                <w:rFonts w:ascii="Times New Roman" w:hAnsi="Times New Roman"/>
                <w:sz w:val="24"/>
                <w:szCs w:val="24"/>
                <w:lang w:eastAsia="uk-UA"/>
              </w:rPr>
              <w:t>і кривдником, іншими показниками</w:t>
            </w:r>
          </w:p>
        </w:tc>
        <w:tc>
          <w:tcPr>
            <w:tcW w:w="529" w:type="pct"/>
            <w:shd w:val="clear" w:color="FFCC99" w:fill="FFFFFF"/>
            <w:noWrap/>
            <w:hideMark/>
          </w:tcPr>
          <w:p w:rsidR="00A7088A" w:rsidRPr="00C7642C" w:rsidRDefault="00A7088A" w:rsidP="00811001">
            <w:pPr>
              <w:pStyle w:val="a5"/>
              <w:widowControl w:val="0"/>
              <w:spacing w:before="240" w:line="228" w:lineRule="auto"/>
              <w:ind w:firstLine="0"/>
              <w:jc w:val="center"/>
              <w:rPr>
                <w:rFonts w:ascii="Times New Roman" w:hAnsi="Times New Roman"/>
                <w:sz w:val="24"/>
                <w:szCs w:val="24"/>
                <w:lang w:eastAsia="uk-UA"/>
              </w:rPr>
            </w:pPr>
            <w:r w:rsidRPr="00C7642C">
              <w:rPr>
                <w:rFonts w:ascii="Times New Roman" w:hAnsi="Times New Roman"/>
                <w:noProof/>
                <w:sz w:val="24"/>
                <w:szCs w:val="24"/>
                <w:lang w:eastAsia="uk-UA"/>
              </w:rPr>
              <w:t>одиниць</w:t>
            </w:r>
          </w:p>
        </w:tc>
        <w:tc>
          <w:tcPr>
            <w:tcW w:w="320" w:type="pct"/>
            <w:shd w:val="clear" w:color="FFCC99" w:fill="FFFFFF"/>
            <w:noWrap/>
            <w:hideMark/>
          </w:tcPr>
          <w:p w:rsidR="00A7088A" w:rsidRPr="00C7642C" w:rsidRDefault="00A7088A" w:rsidP="00811001">
            <w:pPr>
              <w:pStyle w:val="a5"/>
              <w:widowControl w:val="0"/>
              <w:spacing w:before="24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FFCC99" w:fill="FFFFFF"/>
            <w:noWrap/>
            <w:hideMark/>
          </w:tcPr>
          <w:p w:rsidR="00A7088A" w:rsidRPr="00C7642C" w:rsidRDefault="00A7088A" w:rsidP="00811001">
            <w:pPr>
              <w:pStyle w:val="a5"/>
              <w:widowControl w:val="0"/>
              <w:spacing w:before="24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FFCC99" w:fill="FFFFFF"/>
            <w:noWrap/>
            <w:hideMark/>
          </w:tcPr>
          <w:p w:rsidR="00A7088A" w:rsidRPr="00C7642C" w:rsidRDefault="00A7088A" w:rsidP="00811001">
            <w:pPr>
              <w:pStyle w:val="a5"/>
              <w:widowControl w:val="0"/>
              <w:spacing w:before="240" w:line="228" w:lineRule="auto"/>
              <w:ind w:firstLine="0"/>
              <w:jc w:val="center"/>
              <w:rPr>
                <w:rFonts w:ascii="Times New Roman" w:hAnsi="Times New Roman"/>
                <w:sz w:val="24"/>
                <w:szCs w:val="24"/>
                <w:lang w:eastAsia="uk-UA"/>
              </w:rPr>
            </w:pPr>
          </w:p>
        </w:tc>
        <w:tc>
          <w:tcPr>
            <w:tcW w:w="249" w:type="pct"/>
            <w:shd w:val="clear" w:color="FFCC99" w:fill="FFFFFF"/>
            <w:noWrap/>
            <w:hideMark/>
          </w:tcPr>
          <w:p w:rsidR="00A7088A" w:rsidRPr="00C7642C" w:rsidRDefault="00A7088A" w:rsidP="00811001">
            <w:pPr>
              <w:pStyle w:val="a5"/>
              <w:widowControl w:val="0"/>
              <w:spacing w:before="240" w:line="228" w:lineRule="auto"/>
              <w:ind w:firstLine="0"/>
              <w:jc w:val="center"/>
              <w:rPr>
                <w:rFonts w:ascii="Times New Roman" w:hAnsi="Times New Roman"/>
                <w:sz w:val="24"/>
                <w:szCs w:val="24"/>
                <w:lang w:eastAsia="uk-UA"/>
              </w:rPr>
            </w:pPr>
          </w:p>
        </w:tc>
        <w:tc>
          <w:tcPr>
            <w:tcW w:w="249" w:type="pct"/>
            <w:shd w:val="clear" w:color="FFCC99" w:fill="FFFFFF"/>
            <w:noWrap/>
            <w:hideMark/>
          </w:tcPr>
          <w:p w:rsidR="00A7088A" w:rsidRPr="00C7642C" w:rsidRDefault="00A7088A" w:rsidP="00811001">
            <w:pPr>
              <w:pStyle w:val="a5"/>
              <w:widowControl w:val="0"/>
              <w:spacing w:before="240" w:line="228" w:lineRule="auto"/>
              <w:ind w:firstLine="0"/>
              <w:jc w:val="center"/>
              <w:rPr>
                <w:rFonts w:ascii="Times New Roman" w:hAnsi="Times New Roman"/>
                <w:sz w:val="24"/>
                <w:szCs w:val="24"/>
                <w:lang w:eastAsia="uk-UA"/>
              </w:rPr>
            </w:pPr>
          </w:p>
        </w:tc>
        <w:tc>
          <w:tcPr>
            <w:tcW w:w="248" w:type="pct"/>
            <w:shd w:val="clear" w:color="FFCC99" w:fill="FFFFFF"/>
            <w:noWrap/>
            <w:hideMark/>
          </w:tcPr>
          <w:p w:rsidR="00A7088A" w:rsidRPr="00C7642C" w:rsidRDefault="00A7088A" w:rsidP="00811001">
            <w:pPr>
              <w:pStyle w:val="a5"/>
              <w:widowControl w:val="0"/>
              <w:spacing w:before="240"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hideMark/>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кількість статистичних даних про факти домашнього насильства та/або насильства за ознакою статі, згрупованих за статтю і віком</w:t>
            </w:r>
          </w:p>
        </w:tc>
        <w:tc>
          <w:tcPr>
            <w:tcW w:w="52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val="en-US" w:eastAsia="uk-UA"/>
              </w:rPr>
            </w:pPr>
            <w:r w:rsidRPr="00C7642C">
              <w:rPr>
                <w:rFonts w:ascii="Times New Roman" w:hAnsi="Times New Roman"/>
                <w:sz w:val="24"/>
                <w:szCs w:val="24"/>
              </w:rPr>
              <w:t>-ˮ-</w:t>
            </w:r>
          </w:p>
        </w:tc>
        <w:tc>
          <w:tcPr>
            <w:tcW w:w="320"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hideMark/>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кількість проведених досліджень про причини та умови поширення домашнього насильства та/або насильства за ознакою статі</w:t>
            </w:r>
          </w:p>
        </w:tc>
        <w:tc>
          <w:tcPr>
            <w:tcW w:w="529" w:type="pct"/>
            <w:shd w:val="clear" w:color="FFCC99"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hideMark/>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кількість підготовлених державних доповідей про стан реалізації державної політики у сфері запобігання та протидії домашньому насильству та/або насильству за ознакою статі</w:t>
            </w:r>
          </w:p>
        </w:tc>
        <w:tc>
          <w:tcPr>
            <w:tcW w:w="529" w:type="pct"/>
            <w:shd w:val="clear" w:color="FFCC99"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r>
      <w:tr w:rsidR="00A7088A" w:rsidRPr="00C7642C" w:rsidTr="00811001">
        <w:trPr>
          <w:trHeight w:val="20"/>
        </w:trPr>
        <w:tc>
          <w:tcPr>
            <w:tcW w:w="1047" w:type="pct"/>
            <w:vMerge w:val="restart"/>
            <w:shd w:val="clear" w:color="CCFFFF"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xml:space="preserve">2. Підвищення рівня поінформованості населення про форми, прояви, причини і наслідки домашнього насильства та/або насильства за </w:t>
            </w:r>
            <w:r w:rsidRPr="00C7642C">
              <w:rPr>
                <w:rFonts w:ascii="Times New Roman" w:hAnsi="Times New Roman"/>
                <w:sz w:val="24"/>
                <w:szCs w:val="24"/>
                <w:lang w:eastAsia="uk-UA"/>
              </w:rPr>
              <w:lastRenderedPageBreak/>
              <w:t>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tc>
        <w:tc>
          <w:tcPr>
            <w:tcW w:w="1860" w:type="pct"/>
            <w:shd w:val="clear" w:color="CCFFFF" w:fill="FFFFFF"/>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lastRenderedPageBreak/>
              <w:t xml:space="preserve">частка поінформованості населення про форми, прояви, причини і наслідки домашнього насильства та/або насильства за ознакою статі; права, заходи та соціальні послуги, які надають різні суб’єкти; категорії осіб, які можуть ними скористатися, та порядок отримання таких послуг; про </w:t>
            </w:r>
            <w:r w:rsidRPr="00C7642C">
              <w:rPr>
                <w:rFonts w:ascii="Times New Roman" w:hAnsi="Times New Roman"/>
                <w:sz w:val="24"/>
                <w:szCs w:val="24"/>
                <w:lang w:eastAsia="uk-UA"/>
              </w:rPr>
              <w:lastRenderedPageBreak/>
              <w:t>відповідальність кривдників</w:t>
            </w:r>
          </w:p>
        </w:tc>
        <w:tc>
          <w:tcPr>
            <w:tcW w:w="52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lastRenderedPageBreak/>
              <w:t>відсотків</w:t>
            </w:r>
          </w:p>
        </w:tc>
        <w:tc>
          <w:tcPr>
            <w:tcW w:w="320"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25</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35</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50</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60</w:t>
            </w:r>
          </w:p>
        </w:tc>
        <w:tc>
          <w:tcPr>
            <w:tcW w:w="248"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75</w:t>
            </w: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CCFFFF" w:fill="FFFFFF"/>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xml:space="preserve">про суб’єктів, які здійснюють заходи у сфері запобігання та протидії домашньому насильству та/або насильству за ознакою статі на регіональному і місцевому рівні, їх функції та обов’язки </w:t>
            </w:r>
          </w:p>
        </w:tc>
        <w:tc>
          <w:tcPr>
            <w:tcW w:w="529" w:type="pct"/>
            <w:shd w:val="clear" w:color="CCFFFF" w:fill="FFFFFF"/>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60</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80</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90</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CCFFFF" w:fill="FFFFFF"/>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частка поінформованого населення про діяльність загальних та спеціалізованих служб підтримки постраждалих осіб, про послуги, які вони надають, та можливості їх отримання</w:t>
            </w:r>
          </w:p>
        </w:tc>
        <w:tc>
          <w:tcPr>
            <w:tcW w:w="529" w:type="pct"/>
            <w:shd w:val="clear" w:color="CCFFFF" w:fill="FFFFFF"/>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70</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80</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90</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shd w:val="clear" w:color="000000" w:fill="FFFFFF"/>
            <w:noWrap/>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w:t>
            </w:r>
          </w:p>
        </w:tc>
        <w:tc>
          <w:tcPr>
            <w:tcW w:w="1860" w:type="pct"/>
            <w:shd w:val="clear" w:color="CCFFFF" w:fill="FFFFFF"/>
          </w:tcPr>
          <w:p w:rsidR="00A7088A" w:rsidRPr="00C7642C" w:rsidRDefault="00A7088A" w:rsidP="00811001">
            <w:pPr>
              <w:pStyle w:val="a5"/>
              <w:widowControl w:val="0"/>
              <w:spacing w:before="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кількість здійснених перевірок регіонів стосовно стану реалізації державної політики у сфері запобігання та протидії домашньому насильству, аналізу стану виконання завдань, надання методичної допомоги</w:t>
            </w:r>
          </w:p>
        </w:tc>
        <w:tc>
          <w:tcPr>
            <w:tcW w:w="52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75</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15</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15</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15</w:t>
            </w: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15</w:t>
            </w:r>
          </w:p>
        </w:tc>
        <w:tc>
          <w:tcPr>
            <w:tcW w:w="248"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15</w:t>
            </w:r>
          </w:p>
        </w:tc>
      </w:tr>
      <w:tr w:rsidR="00A7088A" w:rsidRPr="00C7642C" w:rsidTr="00811001">
        <w:trPr>
          <w:trHeight w:val="20"/>
        </w:trPr>
        <w:tc>
          <w:tcPr>
            <w:tcW w:w="1047" w:type="pct"/>
            <w:shd w:val="clear" w:color="000000" w:fill="FFFFFF"/>
            <w:noWrap/>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CCFFFF" w:fill="FFFFFF"/>
          </w:tcPr>
          <w:p w:rsidR="00A7088A" w:rsidRPr="00C7642C" w:rsidRDefault="00A7088A" w:rsidP="00811001">
            <w:pPr>
              <w:pStyle w:val="a5"/>
              <w:widowControl w:val="0"/>
              <w:spacing w:before="0" w:line="228" w:lineRule="auto"/>
              <w:ind w:firstLine="0"/>
              <w:rPr>
                <w:rFonts w:ascii="Times New Roman" w:hAnsi="Times New Roman"/>
                <w:sz w:val="24"/>
                <w:szCs w:val="24"/>
                <w:lang w:eastAsia="uk-UA"/>
              </w:rPr>
            </w:pPr>
          </w:p>
        </w:tc>
        <w:tc>
          <w:tcPr>
            <w:tcW w:w="52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320"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8" w:type="pct"/>
            <w:shd w:val="clear" w:color="CCFF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vMerge w:val="restart"/>
            <w:shd w:val="clear" w:color="FFFFCC"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xml:space="preserve">3. Формування в суспільстві нетерпимого ставлення до насильницьких моделей поведінки, </w:t>
            </w:r>
          </w:p>
          <w:p w:rsidR="00A7088A" w:rsidRPr="00C7642C" w:rsidRDefault="00A7088A" w:rsidP="00811001">
            <w:pPr>
              <w:pStyle w:val="a5"/>
              <w:widowControl w:val="0"/>
              <w:spacing w:before="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небайдужого ставлення до постраждалих осіб, насамперед постраждалих дітей, усвідомлення домашнього насильства як порушення прав людини</w:t>
            </w:r>
          </w:p>
        </w:tc>
        <w:tc>
          <w:tcPr>
            <w:tcW w:w="1860" w:type="pct"/>
            <w:shd w:val="clear" w:color="auto" w:fill="auto"/>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кількість стандартів освіти, до яких включено положення щодо ціннісних орієнтирів, змісту, результатів навчання ненасильницькій поведінці, рівності та недискримінації</w:t>
            </w:r>
          </w:p>
        </w:tc>
        <w:tc>
          <w:tcPr>
            <w:tcW w:w="52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46</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31</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15</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8"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vMerge/>
            <w:shd w:val="clear" w:color="FFFFCC"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auto" w:fill="auto"/>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кількість проведених семінарів та тренінгів для педагогічних працівників</w:t>
            </w:r>
          </w:p>
        </w:tc>
        <w:tc>
          <w:tcPr>
            <w:tcW w:w="529" w:type="pct"/>
            <w:shd w:val="clear" w:color="FFFFCC" w:fill="FFFFFF"/>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8"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vMerge/>
            <w:shd w:val="clear" w:color="FFFFCC"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auto" w:fill="auto"/>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кількість впроваджених програм попередження домашнього насильства</w:t>
            </w:r>
          </w:p>
        </w:tc>
        <w:tc>
          <w:tcPr>
            <w:tcW w:w="529" w:type="pct"/>
            <w:shd w:val="clear" w:color="FFFFCC" w:fill="FFFFFF"/>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8"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vMerge/>
            <w:shd w:val="clear" w:color="FFFFCC"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auto" w:fill="auto"/>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кількість проведених заходів</w:t>
            </w:r>
          </w:p>
        </w:tc>
        <w:tc>
          <w:tcPr>
            <w:tcW w:w="529" w:type="pct"/>
            <w:shd w:val="clear" w:color="FFFFCC" w:fill="FFFFFF"/>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125</w:t>
            </w:r>
          </w:p>
        </w:tc>
        <w:tc>
          <w:tcPr>
            <w:tcW w:w="249"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25</w:t>
            </w:r>
          </w:p>
        </w:tc>
        <w:tc>
          <w:tcPr>
            <w:tcW w:w="249" w:type="pct"/>
            <w:shd w:val="clear" w:color="FFFFCC" w:fill="FFFFFF"/>
          </w:tcPr>
          <w:p w:rsidR="00A7088A" w:rsidRPr="00C7642C" w:rsidRDefault="00A7088A" w:rsidP="00811001">
            <w:pPr>
              <w:widowControl w:val="0"/>
              <w:spacing w:before="120"/>
              <w:jc w:val="center"/>
              <w:rPr>
                <w:sz w:val="24"/>
                <w:szCs w:val="24"/>
              </w:rPr>
            </w:pPr>
            <w:r w:rsidRPr="00C7642C">
              <w:rPr>
                <w:rFonts w:ascii="Times New Roman" w:hAnsi="Times New Roman"/>
                <w:sz w:val="24"/>
                <w:szCs w:val="24"/>
                <w:lang w:eastAsia="uk-UA"/>
              </w:rPr>
              <w:t>25</w:t>
            </w:r>
          </w:p>
        </w:tc>
        <w:tc>
          <w:tcPr>
            <w:tcW w:w="249" w:type="pct"/>
            <w:shd w:val="clear" w:color="FFFFCC" w:fill="FFFFFF"/>
          </w:tcPr>
          <w:p w:rsidR="00A7088A" w:rsidRPr="00C7642C" w:rsidRDefault="00A7088A" w:rsidP="00811001">
            <w:pPr>
              <w:widowControl w:val="0"/>
              <w:spacing w:before="120"/>
              <w:jc w:val="center"/>
              <w:rPr>
                <w:sz w:val="24"/>
                <w:szCs w:val="24"/>
              </w:rPr>
            </w:pPr>
            <w:r w:rsidRPr="00C7642C">
              <w:rPr>
                <w:rFonts w:ascii="Times New Roman" w:hAnsi="Times New Roman"/>
                <w:sz w:val="24"/>
                <w:szCs w:val="24"/>
                <w:lang w:eastAsia="uk-UA"/>
              </w:rPr>
              <w:t>25</w:t>
            </w:r>
          </w:p>
        </w:tc>
        <w:tc>
          <w:tcPr>
            <w:tcW w:w="249" w:type="pct"/>
            <w:shd w:val="clear" w:color="FFFFCC" w:fill="FFFFFF"/>
          </w:tcPr>
          <w:p w:rsidR="00A7088A" w:rsidRPr="00C7642C" w:rsidRDefault="00A7088A" w:rsidP="00811001">
            <w:pPr>
              <w:widowControl w:val="0"/>
              <w:spacing w:before="120"/>
              <w:jc w:val="center"/>
              <w:rPr>
                <w:sz w:val="24"/>
                <w:szCs w:val="24"/>
              </w:rPr>
            </w:pPr>
            <w:r w:rsidRPr="00C7642C">
              <w:rPr>
                <w:rFonts w:ascii="Times New Roman" w:hAnsi="Times New Roman"/>
                <w:sz w:val="24"/>
                <w:szCs w:val="24"/>
                <w:lang w:eastAsia="uk-UA"/>
              </w:rPr>
              <w:t>25</w:t>
            </w:r>
          </w:p>
        </w:tc>
        <w:tc>
          <w:tcPr>
            <w:tcW w:w="248" w:type="pct"/>
            <w:shd w:val="clear" w:color="FFFFCC" w:fill="FFFFFF"/>
          </w:tcPr>
          <w:p w:rsidR="00A7088A" w:rsidRPr="00C7642C" w:rsidRDefault="00A7088A" w:rsidP="00811001">
            <w:pPr>
              <w:widowControl w:val="0"/>
              <w:spacing w:before="120" w:after="120"/>
              <w:jc w:val="center"/>
              <w:rPr>
                <w:sz w:val="24"/>
                <w:szCs w:val="24"/>
              </w:rPr>
            </w:pPr>
            <w:r w:rsidRPr="00C7642C">
              <w:rPr>
                <w:rFonts w:ascii="Times New Roman" w:hAnsi="Times New Roman"/>
                <w:sz w:val="24"/>
                <w:szCs w:val="24"/>
                <w:lang w:eastAsia="uk-UA"/>
              </w:rPr>
              <w:t>25</w:t>
            </w:r>
          </w:p>
        </w:tc>
      </w:tr>
      <w:tr w:rsidR="00A7088A" w:rsidRPr="00C7642C" w:rsidTr="00811001">
        <w:trPr>
          <w:trHeight w:val="20"/>
        </w:trPr>
        <w:tc>
          <w:tcPr>
            <w:tcW w:w="1047" w:type="pct"/>
            <w:vMerge w:val="restart"/>
            <w:shd w:val="clear" w:color="FFFFCC"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xml:space="preserve">4. Заохочення всіх членів суспільства, насамперед чоловіків і хлопців, до </w:t>
            </w:r>
            <w:r w:rsidRPr="00C7642C">
              <w:rPr>
                <w:rFonts w:ascii="Times New Roman" w:hAnsi="Times New Roman"/>
                <w:sz w:val="24"/>
                <w:szCs w:val="24"/>
                <w:lang w:eastAsia="uk-UA"/>
              </w:rPr>
              <w:lastRenderedPageBreak/>
              <w:t>активного сприяння запобіганню домашньому насильству та/або насильству за ознакою статі</w:t>
            </w:r>
          </w:p>
        </w:tc>
        <w:tc>
          <w:tcPr>
            <w:tcW w:w="1860" w:type="pct"/>
            <w:shd w:val="clear" w:color="auto" w:fill="auto"/>
            <w:hideMark/>
          </w:tcPr>
          <w:p w:rsidR="00A7088A" w:rsidRPr="00C7642C" w:rsidRDefault="00A7088A" w:rsidP="00811001">
            <w:pPr>
              <w:pStyle w:val="a5"/>
              <w:widowControl w:val="0"/>
              <w:spacing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lastRenderedPageBreak/>
              <w:t xml:space="preserve">частка акцій та інформаційних кампаній із запобігання та протидії домашньому насильству та/або насильству за ознакою статі, до проведення </w:t>
            </w:r>
            <w:r w:rsidRPr="00C7642C">
              <w:rPr>
                <w:rFonts w:ascii="Times New Roman" w:hAnsi="Times New Roman"/>
                <w:sz w:val="24"/>
                <w:szCs w:val="24"/>
                <w:lang w:eastAsia="uk-UA"/>
              </w:rPr>
              <w:lastRenderedPageBreak/>
              <w:t>яких залучені чоловіки і хлопці</w:t>
            </w:r>
          </w:p>
        </w:tc>
        <w:tc>
          <w:tcPr>
            <w:tcW w:w="52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lastRenderedPageBreak/>
              <w:t>відсотків</w:t>
            </w:r>
          </w:p>
        </w:tc>
        <w:tc>
          <w:tcPr>
            <w:tcW w:w="320"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40</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60</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80</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90</w:t>
            </w:r>
          </w:p>
        </w:tc>
        <w:tc>
          <w:tcPr>
            <w:tcW w:w="248"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FFCC" w:fill="FFFFFF"/>
            <w:hideMark/>
          </w:tcPr>
          <w:p w:rsidR="00A7088A" w:rsidRPr="00C7642C" w:rsidRDefault="00A7088A" w:rsidP="00811001">
            <w:pPr>
              <w:pStyle w:val="a5"/>
              <w:widowControl w:val="0"/>
              <w:spacing w:after="100" w:afterAutospacing="1" w:line="228" w:lineRule="auto"/>
              <w:ind w:firstLine="0"/>
              <w:rPr>
                <w:rFonts w:ascii="Times New Roman" w:hAnsi="Times New Roman"/>
                <w:sz w:val="24"/>
                <w:szCs w:val="24"/>
                <w:lang w:val="ru-RU" w:eastAsia="uk-UA"/>
              </w:rPr>
            </w:pPr>
            <w:r w:rsidRPr="00C7642C">
              <w:rPr>
                <w:rFonts w:ascii="Times New Roman" w:hAnsi="Times New Roman"/>
                <w:sz w:val="24"/>
                <w:szCs w:val="24"/>
                <w:lang w:eastAsia="uk-UA"/>
              </w:rPr>
              <w:t>частка</w:t>
            </w:r>
            <w:r w:rsidRPr="00C7642C">
              <w:rPr>
                <w:rFonts w:ascii="Times New Roman" w:hAnsi="Times New Roman"/>
                <w:color w:val="993300"/>
                <w:sz w:val="24"/>
                <w:szCs w:val="24"/>
                <w:lang w:eastAsia="uk-UA"/>
              </w:rPr>
              <w:t xml:space="preserve"> </w:t>
            </w:r>
            <w:r w:rsidRPr="00C7642C">
              <w:rPr>
                <w:rFonts w:ascii="Times New Roman" w:hAnsi="Times New Roman"/>
                <w:sz w:val="24"/>
                <w:szCs w:val="24"/>
                <w:lang w:eastAsia="uk-UA"/>
              </w:rPr>
              <w:t>бізнес-структур, залучених до заходів із запобігання та протидії домашньому насильству та/або насильству за ознакою статі</w:t>
            </w:r>
            <w:r w:rsidRPr="00C7642C">
              <w:rPr>
                <w:rFonts w:ascii="Times New Roman" w:hAnsi="Times New Roman"/>
                <w:sz w:val="24"/>
                <w:szCs w:val="24"/>
                <w:lang w:val="ru-RU" w:eastAsia="uk-UA"/>
              </w:rPr>
              <w:t xml:space="preserve"> </w:t>
            </w:r>
          </w:p>
        </w:tc>
        <w:tc>
          <w:tcPr>
            <w:tcW w:w="529" w:type="pct"/>
            <w:shd w:val="clear" w:color="FFFFCC"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FFCC"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20</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30</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40</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55</w:t>
            </w:r>
          </w:p>
        </w:tc>
        <w:tc>
          <w:tcPr>
            <w:tcW w:w="248"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75</w:t>
            </w:r>
          </w:p>
        </w:tc>
      </w:tr>
      <w:tr w:rsidR="00A7088A" w:rsidRPr="00C7642C" w:rsidTr="00811001">
        <w:trPr>
          <w:trHeight w:val="20"/>
        </w:trPr>
        <w:tc>
          <w:tcPr>
            <w:tcW w:w="1047" w:type="pct"/>
            <w:vMerge w:val="restart"/>
            <w:shd w:val="clear" w:color="auto" w:fill="auto"/>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5. Забезпечення координації та ефективної взаємодії спеціально уповноважених органів, що здійснюють заходи у сфері запобігання та протидії домашньому насильству, інших органів та установ, які виконують функції, пов’язані з проведенням заходів у сфері запобігання та протидії домашньому насильству та/або насильству за ознакою статі</w:t>
            </w:r>
          </w:p>
        </w:tc>
        <w:tc>
          <w:tcPr>
            <w:tcW w:w="1860" w:type="pct"/>
            <w:shd w:val="clear" w:color="auto" w:fill="auto"/>
            <w:hideMark/>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частка облдержадміністрацій, райдержадміністрацій, органів місцевого самоврядування, які затвердили програми/плани заходів щодо забезпечення координації та ефективної взаємодії спеціально уповноважених органів, що здійснюють заходи у сфері запобігання та протидії домашньому насильству та/або насильству за ознакою статі</w:t>
            </w:r>
          </w:p>
        </w:tc>
        <w:tc>
          <w:tcPr>
            <w:tcW w:w="529" w:type="pct"/>
            <w:shd w:val="clear" w:color="FFCC99"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облдержадміністрацій, райдержадміністрацій, органів місцевого самоврядування, у яких визначено відповідальних посадових осіб та забезпечено розміщення інформації про цих відповідальних посадових осіб</w:t>
            </w:r>
          </w:p>
        </w:tc>
        <w:tc>
          <w:tcPr>
            <w:tcW w:w="529" w:type="pct"/>
            <w:shd w:val="clear" w:color="FFCC99"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auto" w:fill="auto"/>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частка проведених засідань  координаційних рад порівняно із запланованою кількістю</w:t>
            </w:r>
          </w:p>
        </w:tc>
        <w:tc>
          <w:tcPr>
            <w:tcW w:w="529" w:type="pct"/>
            <w:shd w:val="clear" w:color="FFCC99"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auto" w:fill="auto"/>
            <w:hideMark/>
          </w:tcPr>
          <w:p w:rsidR="00A7088A" w:rsidRPr="00C7642C" w:rsidRDefault="00A7088A" w:rsidP="00811001">
            <w:pPr>
              <w:pStyle w:val="a5"/>
              <w:widowControl w:val="0"/>
              <w:spacing w:before="0" w:line="228" w:lineRule="auto"/>
              <w:ind w:firstLine="0"/>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сіл/селищ, у яких визначено відповідальних осіб, котрі проводять роботу з прийому та реєстрації заяв і повідомлень про вчинення домашнього насильства та/або насильства за ознакою статі, координації заходів реагування на факти вчинення такого насильства, надання допомоги і захисту постраждалим особам, а також роботу з кривдниками</w:t>
            </w:r>
          </w:p>
        </w:tc>
        <w:tc>
          <w:tcPr>
            <w:tcW w:w="529" w:type="pct"/>
            <w:shd w:val="clear" w:color="FFCC99"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auto" w:fill="auto"/>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частка територіальних громад, які  провели оцінку потреб громад у соціальних послугах  для постраждалих осіб</w:t>
            </w:r>
          </w:p>
        </w:tc>
        <w:tc>
          <w:tcPr>
            <w:tcW w:w="529" w:type="pct"/>
            <w:shd w:val="clear" w:color="FFCC99"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40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85</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shd w:val="clear" w:color="auto" w:fill="auto"/>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територіальних громад, які  використали механізм соціального замовлення як одного з механізмів надання послуг постраждалим особам</w:t>
            </w:r>
          </w:p>
        </w:tc>
        <w:tc>
          <w:tcPr>
            <w:tcW w:w="529" w:type="pct"/>
            <w:shd w:val="clear" w:color="auto" w:fill="auto"/>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rPr>
              <w:t>-ˮ-</w:t>
            </w:r>
          </w:p>
        </w:tc>
        <w:tc>
          <w:tcPr>
            <w:tcW w:w="320" w:type="pct"/>
            <w:shd w:val="clear" w:color="auto" w:fill="auto"/>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auto" w:fill="auto"/>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35</w:t>
            </w:r>
          </w:p>
        </w:tc>
        <w:tc>
          <w:tcPr>
            <w:tcW w:w="249" w:type="pct"/>
            <w:shd w:val="clear" w:color="auto" w:fill="auto"/>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50</w:t>
            </w:r>
          </w:p>
        </w:tc>
        <w:tc>
          <w:tcPr>
            <w:tcW w:w="249" w:type="pct"/>
            <w:shd w:val="clear" w:color="auto" w:fill="auto"/>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70</w:t>
            </w:r>
          </w:p>
        </w:tc>
        <w:tc>
          <w:tcPr>
            <w:tcW w:w="249" w:type="pct"/>
            <w:shd w:val="clear" w:color="auto" w:fill="auto"/>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85</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shd w:val="clear" w:color="auto" w:fill="auto"/>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кількість заходів, які включені до програм соціально-економічного розвитку територіальних громад, спрямованих на запобігання та протидію домашньому насильству та/або насильству за ознакою статі, та забезпечення їх виконання</w:t>
            </w:r>
          </w:p>
        </w:tc>
        <w:tc>
          <w:tcPr>
            <w:tcW w:w="52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25</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25</w:t>
            </w:r>
          </w:p>
        </w:tc>
      </w:tr>
      <w:tr w:rsidR="00A7088A" w:rsidRPr="00C7642C" w:rsidTr="00811001">
        <w:trPr>
          <w:trHeight w:val="20"/>
        </w:trPr>
        <w:tc>
          <w:tcPr>
            <w:tcW w:w="1047" w:type="pct"/>
            <w:shd w:val="clear" w:color="auto" w:fill="auto"/>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частка територіальних громад, в яких працюють фахівці із запобігання та протидії домашньому насильству та/або насильству за ознакою статі</w:t>
            </w:r>
          </w:p>
        </w:tc>
        <w:tc>
          <w:tcPr>
            <w:tcW w:w="52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відсотків</w:t>
            </w:r>
          </w:p>
        </w:tc>
        <w:tc>
          <w:tcPr>
            <w:tcW w:w="320"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85</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shd w:val="clear" w:color="auto" w:fill="auto"/>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частка зменшення випадків вчинення домашнього насильства та/або насильства за ознакою статі, зокрема насильства до недієздатних осіб, дітей, за участю дітей, та випадків насильства, які носять кримінальний характер</w:t>
            </w:r>
          </w:p>
        </w:tc>
        <w:tc>
          <w:tcPr>
            <w:tcW w:w="529" w:type="pct"/>
            <w:shd w:val="clear" w:color="FFCC99"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95</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shd w:val="clear" w:color="CCFFFF" w:fill="FFFFFF"/>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6. Забезпечення збирання, реєстрації, накопичення, зберігання, адаптування, зміни, поновлення, використання, поширення (розповсюдження, реалізації, передачі), знеособлення і знищення даних про випадки домашнього насильства та/або насильства за ознакою статі</w:t>
            </w:r>
          </w:p>
        </w:tc>
        <w:tc>
          <w:tcPr>
            <w:tcW w:w="1860" w:type="pct"/>
            <w:shd w:val="clear" w:color="auto" w:fill="auto"/>
          </w:tcPr>
          <w:p w:rsidR="00A7088A" w:rsidRPr="00C7642C" w:rsidRDefault="00A7088A" w:rsidP="00C223F5">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частка звернень з приводу домашнього насильства та насильства</w:t>
            </w:r>
            <w:r w:rsidR="00C223F5">
              <w:rPr>
                <w:rFonts w:ascii="Times New Roman" w:hAnsi="Times New Roman"/>
                <w:sz w:val="24"/>
                <w:szCs w:val="24"/>
                <w:lang w:eastAsia="uk-UA"/>
              </w:rPr>
              <w:t xml:space="preserve"> </w:t>
            </w:r>
            <w:bookmarkStart w:id="0" w:name="_GoBack"/>
            <w:bookmarkEnd w:id="0"/>
            <w:r w:rsidRPr="00C7642C">
              <w:rPr>
                <w:rFonts w:ascii="Times New Roman" w:hAnsi="Times New Roman"/>
                <w:sz w:val="24"/>
                <w:szCs w:val="24"/>
                <w:lang w:eastAsia="uk-UA"/>
              </w:rPr>
              <w:t>за ознакою статі, за якими забезпечено своєчасне реагування відповідних суб’єктів взаємодії</w:t>
            </w:r>
          </w:p>
        </w:tc>
        <w:tc>
          <w:tcPr>
            <w:tcW w:w="529" w:type="pct"/>
            <w:shd w:val="clear" w:color="CCFFFF" w:fill="FFFFFF"/>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auto" w:fill="auto"/>
            <w:noWrap/>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auto" w:fill="auto"/>
            <w:noWrap/>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auto" w:fill="auto"/>
            <w:noWrap/>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auto" w:fill="auto"/>
            <w:noWrap/>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auto" w:fill="auto"/>
            <w:noWrap/>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auto" w:fill="auto"/>
            <w:noWrap/>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val="restart"/>
            <w:shd w:val="clear" w:color="FFFFFF" w:fill="FFFFFF"/>
            <w:hideMark/>
          </w:tcPr>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xml:space="preserve">7. Навчання та підвищення рівня професійної </w:t>
            </w:r>
            <w:r w:rsidRPr="00C7642C">
              <w:rPr>
                <w:rFonts w:ascii="Times New Roman" w:hAnsi="Times New Roman"/>
                <w:sz w:val="24"/>
                <w:szCs w:val="24"/>
                <w:lang w:eastAsia="uk-UA"/>
              </w:rPr>
              <w:lastRenderedPageBreak/>
              <w:t xml:space="preserve">компетентності </w:t>
            </w:r>
            <w:r w:rsidRPr="00C7642C">
              <w:rPr>
                <w:rFonts w:ascii="Times New Roman" w:hAnsi="Times New Roman"/>
                <w:sz w:val="24"/>
                <w:szCs w:val="24"/>
                <w:lang w:eastAsia="uk-UA"/>
              </w:rPr>
              <w:br/>
              <w:t>суб’єктів, що здійснюють заходи у сфері запобігання та протидії домашньому насильству та насильству за ознакою статі, з питань, що регулюються Законами України</w:t>
            </w:r>
            <w:r w:rsidRPr="00C7642C">
              <w:rPr>
                <w:rFonts w:ascii="Times New Roman" w:hAnsi="Times New Roman"/>
                <w:sz w:val="24"/>
                <w:szCs w:val="24"/>
                <w:lang w:eastAsia="uk-UA"/>
              </w:rPr>
              <w:br/>
              <w:t xml:space="preserve"> “Про запобігання та протидію домашньому насильству”, “Про забезпечення рівних прав та можливостей жінок і чоловіків” </w:t>
            </w:r>
            <w:r w:rsidRPr="00C7642C">
              <w:rPr>
                <w:rFonts w:ascii="Times New Roman" w:hAnsi="Times New Roman"/>
                <w:sz w:val="24"/>
                <w:szCs w:val="24"/>
                <w:lang w:eastAsia="uk-UA"/>
              </w:rPr>
              <w:br/>
              <w:t>та іншими законодавчими актами, спрямованими на розв’язання зазначеної проблеми</w:t>
            </w:r>
          </w:p>
        </w:tc>
        <w:tc>
          <w:tcPr>
            <w:tcW w:w="1860" w:type="pct"/>
            <w:shd w:val="clear" w:color="auto" w:fill="auto"/>
            <w:hideMark/>
          </w:tcPr>
          <w:p w:rsidR="00A7088A" w:rsidRPr="00C7642C" w:rsidRDefault="00A7088A" w:rsidP="00811001">
            <w:pPr>
              <w:pStyle w:val="a5"/>
              <w:widowControl w:val="0"/>
              <w:spacing w:before="8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lastRenderedPageBreak/>
              <w:t xml:space="preserve">кількість розроблених та впроваджених навчальних програм </w:t>
            </w:r>
          </w:p>
        </w:tc>
        <w:tc>
          <w:tcPr>
            <w:tcW w:w="52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4</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3</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p>
        </w:tc>
        <w:tc>
          <w:tcPr>
            <w:tcW w:w="248"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vMerge/>
            <w:shd w:val="clear" w:color="FFFFFF" w:fill="FFFFFF"/>
            <w:hideMark/>
          </w:tcPr>
          <w:p w:rsidR="00A7088A" w:rsidRPr="00C7642C" w:rsidRDefault="00A7088A" w:rsidP="00811001">
            <w:pPr>
              <w:pStyle w:val="a5"/>
              <w:widowControl w:val="0"/>
              <w:spacing w:before="80" w:line="228" w:lineRule="auto"/>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before="8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закладів освіти та тренінгових центрів правоохоронних органів, суддів,</w:t>
            </w:r>
            <w:r w:rsidRPr="00C7642C">
              <w:rPr>
                <w:rFonts w:ascii="Times New Roman" w:hAnsi="Times New Roman"/>
                <w:sz w:val="24"/>
                <w:szCs w:val="24"/>
                <w:lang w:val="ru-RU" w:eastAsia="uk-UA"/>
              </w:rPr>
              <w:t xml:space="preserve"> </w:t>
            </w:r>
            <w:r w:rsidRPr="00C7642C">
              <w:rPr>
                <w:rFonts w:ascii="Times New Roman" w:hAnsi="Times New Roman"/>
                <w:sz w:val="24"/>
                <w:szCs w:val="24"/>
                <w:lang w:eastAsia="uk-UA"/>
              </w:rPr>
              <w:t>адвокатів, в яких впроваджено навчальні програми з питань застосування законодавства про криміналізацію домашнього насильства та насильства за ознакою статі</w:t>
            </w:r>
          </w:p>
        </w:tc>
        <w:tc>
          <w:tcPr>
            <w:tcW w:w="52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відсотків</w:t>
            </w:r>
          </w:p>
        </w:tc>
        <w:tc>
          <w:tcPr>
            <w:tcW w:w="320"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50</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70</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85</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95</w:t>
            </w:r>
          </w:p>
        </w:tc>
        <w:tc>
          <w:tcPr>
            <w:tcW w:w="248"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FFFFFF" w:fill="FFFFFF"/>
            <w:hideMark/>
          </w:tcPr>
          <w:p w:rsidR="00A7088A" w:rsidRPr="00C7642C" w:rsidRDefault="00A7088A" w:rsidP="00811001">
            <w:pPr>
              <w:pStyle w:val="a5"/>
              <w:widowControl w:val="0"/>
              <w:spacing w:before="80" w:line="228" w:lineRule="auto"/>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кількість суддів, прокурорів, адвокатів, слідчих, які пройшли підготовку щодо реалізації норм права в інтересах дитини, яка стала свідком або жертвою насильства</w:t>
            </w:r>
          </w:p>
        </w:tc>
        <w:tc>
          <w:tcPr>
            <w:tcW w:w="52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осіб</w:t>
            </w:r>
          </w:p>
        </w:tc>
        <w:tc>
          <w:tcPr>
            <w:tcW w:w="320"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625</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125</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125</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125</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125</w:t>
            </w:r>
          </w:p>
        </w:tc>
        <w:tc>
          <w:tcPr>
            <w:tcW w:w="248"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125</w:t>
            </w:r>
          </w:p>
        </w:tc>
      </w:tr>
      <w:tr w:rsidR="00A7088A" w:rsidRPr="00C7642C" w:rsidTr="00811001">
        <w:trPr>
          <w:trHeight w:val="20"/>
        </w:trPr>
        <w:tc>
          <w:tcPr>
            <w:tcW w:w="1047" w:type="pct"/>
            <w:vMerge/>
            <w:shd w:val="clear" w:color="FFFFFF" w:fill="FFFFFF"/>
            <w:hideMark/>
          </w:tcPr>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p>
        </w:tc>
        <w:tc>
          <w:tcPr>
            <w:tcW w:w="1860" w:type="pct"/>
            <w:shd w:val="clear" w:color="auto" w:fill="auto"/>
            <w:hideMark/>
          </w:tcPr>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xml:space="preserve">частка слідчих, </w:t>
            </w:r>
            <w:proofErr w:type="spellStart"/>
            <w:r w:rsidRPr="00C7642C">
              <w:rPr>
                <w:rFonts w:ascii="Times New Roman" w:hAnsi="Times New Roman"/>
                <w:sz w:val="24"/>
                <w:szCs w:val="24"/>
                <w:lang w:eastAsia="uk-UA"/>
              </w:rPr>
              <w:t>дізнавачів</w:t>
            </w:r>
            <w:proofErr w:type="spellEnd"/>
            <w:r w:rsidRPr="00C7642C">
              <w:rPr>
                <w:rFonts w:ascii="Times New Roman" w:hAnsi="Times New Roman"/>
                <w:sz w:val="24"/>
                <w:szCs w:val="24"/>
                <w:lang w:eastAsia="uk-UA"/>
              </w:rPr>
              <w:t>, які здійснюють досудове розслідування, та прокурорів, які здійснюють нагляд за додержанням законів, і пройшли навчання з розподілом за статтю</w:t>
            </w:r>
          </w:p>
        </w:tc>
        <w:tc>
          <w:tcPr>
            <w:tcW w:w="529" w:type="pct"/>
            <w:shd w:val="clear" w:color="FFFFFF" w:fill="FFFFFF"/>
            <w:hideMark/>
          </w:tcPr>
          <w:p w:rsidR="00A7088A" w:rsidRPr="00C7642C" w:rsidRDefault="00A7088A" w:rsidP="00811001">
            <w:pPr>
              <w:widowControl w:val="0"/>
              <w:spacing w:before="80" w:line="228" w:lineRule="auto"/>
              <w:jc w:val="center"/>
              <w:rPr>
                <w:sz w:val="24"/>
                <w:szCs w:val="24"/>
              </w:rPr>
            </w:pPr>
            <w:r w:rsidRPr="00C7642C">
              <w:rPr>
                <w:rFonts w:ascii="Times New Roman" w:hAnsi="Times New Roman"/>
                <w:sz w:val="24"/>
                <w:szCs w:val="24"/>
              </w:rPr>
              <w:t>-ˮ-</w:t>
            </w:r>
          </w:p>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p>
        </w:tc>
        <w:tc>
          <w:tcPr>
            <w:tcW w:w="320"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60</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70</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80</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90</w:t>
            </w:r>
          </w:p>
        </w:tc>
        <w:tc>
          <w:tcPr>
            <w:tcW w:w="248"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FFFFFF" w:fill="FFFFFF"/>
            <w:hideMark/>
          </w:tcPr>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p>
        </w:tc>
        <w:tc>
          <w:tcPr>
            <w:tcW w:w="1860" w:type="pct"/>
            <w:shd w:val="clear" w:color="FFFFFF" w:fill="FFFFFF"/>
            <w:hideMark/>
          </w:tcPr>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частка територіальних громад, у яких відповідальні працівники взяли участь у навчаннях із міжвідомчого реагування на випадки домашнього насильства, насильства за ознакою статі та жорстокого поводження з дітьми</w:t>
            </w:r>
          </w:p>
        </w:tc>
        <w:tc>
          <w:tcPr>
            <w:tcW w:w="52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відсотків</w:t>
            </w:r>
          </w:p>
        </w:tc>
        <w:tc>
          <w:tcPr>
            <w:tcW w:w="320"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60</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70</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80</w:t>
            </w:r>
          </w:p>
        </w:tc>
        <w:tc>
          <w:tcPr>
            <w:tcW w:w="249"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90</w:t>
            </w:r>
          </w:p>
        </w:tc>
        <w:tc>
          <w:tcPr>
            <w:tcW w:w="248" w:type="pct"/>
            <w:shd w:val="clear" w:color="FFFFFF" w:fill="FFFFFF"/>
            <w:hideMark/>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FFFFFF" w:fill="FFFFFF"/>
          </w:tcPr>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p>
        </w:tc>
        <w:tc>
          <w:tcPr>
            <w:tcW w:w="1860" w:type="pct"/>
            <w:shd w:val="clear" w:color="FFFFFF" w:fill="FFFFFF"/>
          </w:tcPr>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громади, в яких програми для кривдників з розподілом за статтю реалізують підготовлені фахівці</w:t>
            </w:r>
          </w:p>
        </w:tc>
        <w:tc>
          <w:tcPr>
            <w:tcW w:w="529"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rPr>
              <w:t>-ˮ-</w:t>
            </w:r>
          </w:p>
        </w:tc>
        <w:tc>
          <w:tcPr>
            <w:tcW w:w="320"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p>
        </w:tc>
        <w:tc>
          <w:tcPr>
            <w:tcW w:w="249"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60</w:t>
            </w:r>
          </w:p>
        </w:tc>
        <w:tc>
          <w:tcPr>
            <w:tcW w:w="249"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70</w:t>
            </w:r>
          </w:p>
        </w:tc>
        <w:tc>
          <w:tcPr>
            <w:tcW w:w="249"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80</w:t>
            </w:r>
          </w:p>
        </w:tc>
        <w:tc>
          <w:tcPr>
            <w:tcW w:w="249"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90</w:t>
            </w:r>
          </w:p>
        </w:tc>
        <w:tc>
          <w:tcPr>
            <w:tcW w:w="248"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shd w:val="clear" w:color="FFFFFF" w:fill="FFFFFF"/>
            <w:hideMark/>
          </w:tcPr>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p>
        </w:tc>
        <w:tc>
          <w:tcPr>
            <w:tcW w:w="1860" w:type="pct"/>
            <w:shd w:val="clear" w:color="FFFFFF" w:fill="FFFFFF"/>
          </w:tcPr>
          <w:p w:rsidR="00A7088A" w:rsidRPr="00C7642C" w:rsidRDefault="00A7088A" w:rsidP="00811001">
            <w:pPr>
              <w:pStyle w:val="a5"/>
              <w:widowControl w:val="0"/>
              <w:spacing w:before="8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частка територіальних громад, у яких  фахівці, які реалізують</w:t>
            </w:r>
            <w:r w:rsidRPr="00C7642C">
              <w:rPr>
                <w:rFonts w:ascii="Times New Roman" w:hAnsi="Times New Roman"/>
                <w:color w:val="FF0000"/>
                <w:sz w:val="24"/>
                <w:szCs w:val="24"/>
                <w:lang w:eastAsia="uk-UA"/>
              </w:rPr>
              <w:t xml:space="preserve"> </w:t>
            </w:r>
            <w:r w:rsidRPr="00C7642C">
              <w:rPr>
                <w:rFonts w:ascii="Times New Roman" w:hAnsi="Times New Roman"/>
                <w:sz w:val="24"/>
                <w:szCs w:val="24"/>
                <w:lang w:eastAsia="uk-UA"/>
              </w:rPr>
              <w:t>програми для постраждалих від домашнього насильства та/або насильства за ознакою статі, пройшли навчання</w:t>
            </w:r>
          </w:p>
        </w:tc>
        <w:tc>
          <w:tcPr>
            <w:tcW w:w="529"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rPr>
              <w:t>-ˮ-</w:t>
            </w:r>
          </w:p>
        </w:tc>
        <w:tc>
          <w:tcPr>
            <w:tcW w:w="320"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p>
        </w:tc>
        <w:tc>
          <w:tcPr>
            <w:tcW w:w="249"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FFFF" w:fill="FFFFFF"/>
          </w:tcPr>
          <w:p w:rsidR="00A7088A" w:rsidRPr="00C7642C" w:rsidRDefault="00A7088A" w:rsidP="00811001">
            <w:pPr>
              <w:pStyle w:val="a5"/>
              <w:widowControl w:val="0"/>
              <w:spacing w:before="80"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shd w:val="clear" w:color="FFFFFF"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FFFF" w:fill="FFFFFF"/>
            <w:hideMark/>
          </w:tcPr>
          <w:p w:rsidR="00A7088A" w:rsidRPr="00C7642C" w:rsidRDefault="00A7088A" w:rsidP="00811001">
            <w:pPr>
              <w:pStyle w:val="a5"/>
              <w:widowControl w:val="0"/>
              <w:spacing w:after="120" w:line="228" w:lineRule="auto"/>
              <w:ind w:firstLine="0"/>
              <w:rPr>
                <w:rFonts w:ascii="Times New Roman" w:hAnsi="Times New Roman"/>
                <w:sz w:val="24"/>
                <w:szCs w:val="24"/>
                <w:lang w:val="ru-RU" w:eastAsia="uk-UA"/>
              </w:rPr>
            </w:pPr>
            <w:r w:rsidRPr="00C7642C">
              <w:rPr>
                <w:rFonts w:ascii="Times New Roman" w:hAnsi="Times New Roman"/>
                <w:sz w:val="24"/>
                <w:szCs w:val="24"/>
                <w:lang w:eastAsia="uk-UA"/>
              </w:rPr>
              <w:t>кількість розроблених методичних матеріалів для місцевих держадміністрацій та органів місцевого самоврядування у сфері запобігання та протидії домашньому насильству та/або насильству за ознакою статі</w:t>
            </w:r>
          </w:p>
        </w:tc>
        <w:tc>
          <w:tcPr>
            <w:tcW w:w="529" w:type="pct"/>
            <w:shd w:val="clear" w:color="FF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FF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5</w:t>
            </w:r>
          </w:p>
        </w:tc>
        <w:tc>
          <w:tcPr>
            <w:tcW w:w="249" w:type="pct"/>
            <w:shd w:val="clear" w:color="FF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FF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FF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8" w:type="pct"/>
            <w:shd w:val="clear" w:color="FF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vMerge w:val="restart"/>
            <w:shd w:val="clear" w:color="FFCC99"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xml:space="preserve">8. Надання кожній </w:t>
            </w:r>
            <w:r w:rsidRPr="00C7642C">
              <w:rPr>
                <w:rFonts w:ascii="Times New Roman" w:hAnsi="Times New Roman"/>
                <w:sz w:val="24"/>
                <w:szCs w:val="24"/>
                <w:lang w:eastAsia="uk-UA"/>
              </w:rPr>
              <w:lastRenderedPageBreak/>
              <w:t>постраждалій особі інформації про її права та можливості реалізації таких прав зрозумілою для неї мовою або через перекладача чи залучену третю особу, яка володіє мовою, зрозумілою постраждалій особі, та забезпечення реалізації таких прав</w:t>
            </w:r>
          </w:p>
        </w:tc>
        <w:tc>
          <w:tcPr>
            <w:tcW w:w="1860" w:type="pct"/>
            <w:shd w:val="clear" w:color="FFCC99" w:fill="FFFFFF"/>
            <w:hideMark/>
          </w:tcPr>
          <w:p w:rsidR="00A7088A" w:rsidRPr="00C7642C" w:rsidRDefault="00A7088A" w:rsidP="00811001">
            <w:pPr>
              <w:pStyle w:val="a5"/>
              <w:widowControl w:val="0"/>
              <w:spacing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lastRenderedPageBreak/>
              <w:t xml:space="preserve">частка суб’єктів взаємодії, в яких на усіх офіційних </w:t>
            </w:r>
            <w:r w:rsidRPr="00C7642C">
              <w:rPr>
                <w:rFonts w:ascii="Times New Roman" w:hAnsi="Times New Roman"/>
                <w:sz w:val="24"/>
                <w:szCs w:val="24"/>
                <w:lang w:eastAsia="uk-UA"/>
              </w:rPr>
              <w:lastRenderedPageBreak/>
              <w:t>інформаційних ресурсах розміщено інформацію про права і соціальні послуги, медичну, соціальну, психологічну допомогу, якими постраждала особа може скористатися</w:t>
            </w:r>
          </w:p>
        </w:tc>
        <w:tc>
          <w:tcPr>
            <w:tcW w:w="52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lastRenderedPageBreak/>
              <w:t>відсотків</w:t>
            </w:r>
          </w:p>
        </w:tc>
        <w:tc>
          <w:tcPr>
            <w:tcW w:w="320"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60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70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90</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hideMark/>
          </w:tcPr>
          <w:p w:rsidR="00A7088A" w:rsidRPr="00C7642C" w:rsidRDefault="00A7088A" w:rsidP="00811001">
            <w:pPr>
              <w:pStyle w:val="a5"/>
              <w:widowControl w:val="0"/>
              <w:spacing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кількість розроблених та затверджених стандартів надання соціальних послуг постраждалим особам</w:t>
            </w:r>
          </w:p>
        </w:tc>
        <w:tc>
          <w:tcPr>
            <w:tcW w:w="52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3</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постраждалих осіб, яким надано послуги відповідно до їх потреб</w:t>
            </w:r>
          </w:p>
        </w:tc>
        <w:tc>
          <w:tcPr>
            <w:tcW w:w="52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відсотків</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95</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постраждалих дітей, які отримали допомогу відповідно до їх потреб</w:t>
            </w:r>
          </w:p>
        </w:tc>
        <w:tc>
          <w:tcPr>
            <w:tcW w:w="529" w:type="pct"/>
            <w:shd w:val="clear" w:color="FFCC99"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val="restart"/>
            <w:shd w:val="clear" w:color="CCCCFF"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9. 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tc>
        <w:tc>
          <w:tcPr>
            <w:tcW w:w="1860" w:type="pct"/>
            <w:shd w:val="clear" w:color="CCCCFF"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територіальних громад, які визначили потребу у створенні спеціалізованих служб підтримки постраждалих осіб, відповідно до методики визначення потреб територіальних громад у створенні спеціалізованих служб підтримки постраждалих осіб</w:t>
            </w:r>
          </w:p>
        </w:tc>
        <w:tc>
          <w:tcPr>
            <w:tcW w:w="529" w:type="pct"/>
            <w:shd w:val="clear" w:color="CCCCFF"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CCCCFF"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20</w:t>
            </w: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40</w:t>
            </w: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65</w:t>
            </w: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85</w:t>
            </w:r>
          </w:p>
        </w:tc>
        <w:tc>
          <w:tcPr>
            <w:tcW w:w="248"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CCCCFF"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територіальних громад, на території проживання яких діє необхідна кількість спеціалізованих служб підтримки відповідно до методики визначення потреб територіальних громад у таких службах</w:t>
            </w:r>
          </w:p>
        </w:tc>
        <w:tc>
          <w:tcPr>
            <w:tcW w:w="529" w:type="pct"/>
            <w:shd w:val="clear" w:color="CCCCFF"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CCCCFF"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кількість створених спеціалізованих служб підтримки осіб, постраждалих від домашнього насильства та насильства за ознакою статі</w:t>
            </w:r>
            <w:r w:rsidRPr="00C7642C">
              <w:rPr>
                <w:rFonts w:ascii="Times New Roman" w:hAnsi="Times New Roman"/>
                <w:sz w:val="24"/>
                <w:szCs w:val="24"/>
                <w:lang w:eastAsia="uk-UA"/>
              </w:rPr>
              <w:br w:type="page"/>
            </w:r>
          </w:p>
        </w:tc>
        <w:tc>
          <w:tcPr>
            <w:tcW w:w="52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450</w:t>
            </w: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180</w:t>
            </w: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150</w:t>
            </w: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120</w:t>
            </w:r>
          </w:p>
        </w:tc>
        <w:tc>
          <w:tcPr>
            <w:tcW w:w="249"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8" w:type="pct"/>
            <w:shd w:val="clear" w:color="CCCC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shd w:val="clear" w:color="FFCC99"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10. Надання у разі потреби тимчасового притулку для безпечного розміщення постраждалих осіб</w:t>
            </w:r>
          </w:p>
        </w:tc>
        <w:tc>
          <w:tcPr>
            <w:tcW w:w="1860" w:type="pct"/>
            <w:shd w:val="clear" w:color="FFCC99" w:fill="FFFFFF"/>
            <w:hideMark/>
          </w:tcPr>
          <w:p w:rsidR="00A7088A" w:rsidRPr="00C7642C" w:rsidRDefault="00A7088A" w:rsidP="00811001">
            <w:pPr>
              <w:pStyle w:val="a5"/>
              <w:widowControl w:val="0"/>
              <w:spacing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територіальних громад, які мають доступ до послуги притулку у спеціалізованих службах для постраждалих осіб відповідно до методики визначення потреб територіальних громад у таких службах</w:t>
            </w:r>
          </w:p>
        </w:tc>
        <w:tc>
          <w:tcPr>
            <w:tcW w:w="52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відсотків</w:t>
            </w:r>
          </w:p>
        </w:tc>
        <w:tc>
          <w:tcPr>
            <w:tcW w:w="320"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val="restart"/>
            <w:shd w:val="clear" w:color="FFCC99" w:fill="FFFFFF"/>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lastRenderedPageBreak/>
              <w:t>11. Забезпечення реагування на випадки домашнього насильства та насильства за ознакою статі, створення умов для цілодобового опрацювання звернень / повідомлень громадян з питань домашнього насильства, насильства за ознакою статі та насильства стосовно дітей та за участю дітей</w:t>
            </w:r>
          </w:p>
        </w:tc>
        <w:tc>
          <w:tcPr>
            <w:tcW w:w="1860" w:type="pct"/>
            <w:shd w:val="clear" w:color="FFCC99" w:fill="FFFFFF"/>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 xml:space="preserve">кількість створених </w:t>
            </w:r>
            <w:proofErr w:type="spellStart"/>
            <w:r w:rsidRPr="00C7642C">
              <w:rPr>
                <w:rFonts w:ascii="Times New Roman" w:hAnsi="Times New Roman"/>
                <w:sz w:val="24"/>
                <w:szCs w:val="24"/>
                <w:lang w:eastAsia="uk-UA"/>
              </w:rPr>
              <w:t>кол</w:t>
            </w:r>
            <w:proofErr w:type="spellEnd"/>
            <w:r w:rsidRPr="00C7642C">
              <w:rPr>
                <w:rFonts w:ascii="Times New Roman" w:hAnsi="Times New Roman"/>
                <w:sz w:val="24"/>
                <w:szCs w:val="24"/>
                <w:lang w:eastAsia="uk-UA"/>
              </w:rPr>
              <w:t xml:space="preserve">-центрів  </w:t>
            </w:r>
          </w:p>
        </w:tc>
        <w:tc>
          <w:tcPr>
            <w:tcW w:w="52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26</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26</w:t>
            </w:r>
          </w:p>
        </w:tc>
        <w:tc>
          <w:tcPr>
            <w:tcW w:w="248"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26</w:t>
            </w:r>
          </w:p>
        </w:tc>
      </w:tr>
      <w:tr w:rsidR="00A7088A" w:rsidRPr="00C7642C" w:rsidTr="00811001">
        <w:trPr>
          <w:trHeight w:val="20"/>
        </w:trPr>
        <w:tc>
          <w:tcPr>
            <w:tcW w:w="1047" w:type="pct"/>
            <w:vMerge/>
            <w:shd w:val="clear" w:color="FFCC99"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 xml:space="preserve">частка осіб, які постраждали від домашнього насильства та насильства за ознакою статі, що звернулися до </w:t>
            </w:r>
            <w:proofErr w:type="spellStart"/>
            <w:r w:rsidRPr="00C7642C">
              <w:rPr>
                <w:rFonts w:ascii="Times New Roman" w:hAnsi="Times New Roman"/>
                <w:sz w:val="24"/>
                <w:szCs w:val="24"/>
                <w:lang w:eastAsia="uk-UA"/>
              </w:rPr>
              <w:t>кол</w:t>
            </w:r>
            <w:proofErr w:type="spellEnd"/>
            <w:r w:rsidRPr="00C7642C">
              <w:rPr>
                <w:rFonts w:ascii="Times New Roman" w:hAnsi="Times New Roman"/>
                <w:sz w:val="24"/>
                <w:szCs w:val="24"/>
                <w:lang w:eastAsia="uk-UA"/>
              </w:rPr>
              <w:t>-центру та отримали допомогу відносно кількості тих осіб, які звернулися</w:t>
            </w:r>
          </w:p>
        </w:tc>
        <w:tc>
          <w:tcPr>
            <w:tcW w:w="52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відсотків</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FFCC99"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кількість підготовлених аналітичних записок з аналізом звернень до</w:t>
            </w:r>
            <w:r w:rsidRPr="00C7642C">
              <w:rPr>
                <w:rFonts w:ascii="Times New Roman" w:hAnsi="Times New Roman"/>
                <w:sz w:val="24"/>
                <w:szCs w:val="24"/>
                <w:lang w:eastAsia="uk-UA"/>
              </w:rPr>
              <w:br/>
            </w:r>
            <w:proofErr w:type="spellStart"/>
            <w:r w:rsidRPr="00C7642C">
              <w:rPr>
                <w:rFonts w:ascii="Times New Roman" w:hAnsi="Times New Roman"/>
                <w:sz w:val="24"/>
                <w:szCs w:val="24"/>
                <w:lang w:eastAsia="uk-UA"/>
              </w:rPr>
              <w:t>кол</w:t>
            </w:r>
            <w:proofErr w:type="spellEnd"/>
            <w:r w:rsidRPr="00C7642C">
              <w:rPr>
                <w:rFonts w:ascii="Times New Roman" w:hAnsi="Times New Roman"/>
                <w:sz w:val="24"/>
                <w:szCs w:val="24"/>
                <w:lang w:eastAsia="uk-UA"/>
              </w:rPr>
              <w:t>-центру</w:t>
            </w:r>
          </w:p>
        </w:tc>
        <w:tc>
          <w:tcPr>
            <w:tcW w:w="52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60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w:t>
            </w:r>
          </w:p>
        </w:tc>
        <w:tc>
          <w:tcPr>
            <w:tcW w:w="248"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12</w:t>
            </w:r>
          </w:p>
        </w:tc>
      </w:tr>
      <w:tr w:rsidR="00A7088A" w:rsidRPr="00C7642C" w:rsidTr="00811001">
        <w:trPr>
          <w:trHeight w:val="20"/>
        </w:trPr>
        <w:tc>
          <w:tcPr>
            <w:tcW w:w="1047" w:type="pct"/>
            <w:shd w:val="clear" w:color="FFCC99"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p>
        </w:tc>
        <w:tc>
          <w:tcPr>
            <w:tcW w:w="52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8"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vMerge w:val="restart"/>
            <w:shd w:val="clear" w:color="FFCC99"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12. Забезпечення постраждалим особам доступу до правосуддя та інших механізмів юридичного захисту, в тому числі шляхом надання безоплатної правової допомоги у порядку, встановленому Законом України “Про безоплатну правову допомогу”,  та доступу до медичних послуг , послуг з охорони психічного здоров’я, судово-медичної експертизи</w:t>
            </w:r>
          </w:p>
        </w:tc>
        <w:tc>
          <w:tcPr>
            <w:tcW w:w="1860" w:type="pct"/>
            <w:shd w:val="clear" w:color="FFCC99" w:fill="FFFFFF"/>
          </w:tcPr>
          <w:p w:rsidR="00A7088A" w:rsidRPr="00C7642C" w:rsidRDefault="00A7088A" w:rsidP="00811001">
            <w:pPr>
              <w:pStyle w:val="a5"/>
              <w:widowControl w:val="0"/>
              <w:spacing w:after="120"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частка дівчат та хлопців, яким своєчасно надано допомогу в центрах безоплатної вторинної правової допомоги</w:t>
            </w:r>
          </w:p>
        </w:tc>
        <w:tc>
          <w:tcPr>
            <w:tcW w:w="52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відсотків</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FFCC99"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проведених процесуальних дій із застосуванням індивідуального підходу до допиту дітей</w:t>
            </w:r>
          </w:p>
        </w:tc>
        <w:tc>
          <w:tcPr>
            <w:tcW w:w="529" w:type="pct"/>
            <w:shd w:val="clear" w:color="FFCC99" w:fill="FFFFFF"/>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FFCC99"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осіб, які постраждали від зґвалтування та/або сексуального насильства та звернулися у зв’язку з цим до закладів охорони здоров’я, яким надано необхідні послуги, у тому числі медичні, з охорони психічного здоров’я, судово-медичної експертизи</w:t>
            </w:r>
          </w:p>
        </w:tc>
        <w:tc>
          <w:tcPr>
            <w:tcW w:w="529" w:type="pct"/>
            <w:shd w:val="clear" w:color="FFCC99" w:fill="FFFFFF"/>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FFCC99"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територіальних громад, які мають кабінети первинної допомоги постраждалим особам на базі закладів охорони здоров’я</w:t>
            </w:r>
          </w:p>
        </w:tc>
        <w:tc>
          <w:tcPr>
            <w:tcW w:w="529" w:type="pct"/>
            <w:shd w:val="clear" w:color="FFCC99" w:fill="FFFFFF"/>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90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FFCC99" w:fill="FFFFFF"/>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CC99" w:fill="FFFFFF"/>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 xml:space="preserve">частка судових засідань у справах про домашнє насильство та/ або насильство за ознакою статі за </w:t>
            </w:r>
            <w:r w:rsidRPr="00C7642C">
              <w:rPr>
                <w:rFonts w:ascii="Times New Roman" w:hAnsi="Times New Roman"/>
                <w:sz w:val="24"/>
                <w:szCs w:val="24"/>
                <w:lang w:eastAsia="uk-UA"/>
              </w:rPr>
              <w:lastRenderedPageBreak/>
              <w:t>участю дітей</w:t>
            </w:r>
          </w:p>
        </w:tc>
        <w:tc>
          <w:tcPr>
            <w:tcW w:w="529" w:type="pct"/>
            <w:shd w:val="clear" w:color="FFCC99" w:fill="FFFFFF"/>
          </w:tcPr>
          <w:p w:rsidR="00A7088A" w:rsidRPr="00C7642C" w:rsidRDefault="00A7088A" w:rsidP="00811001">
            <w:pPr>
              <w:widowControl w:val="0"/>
              <w:jc w:val="center"/>
              <w:rPr>
                <w:sz w:val="24"/>
                <w:szCs w:val="24"/>
              </w:rPr>
            </w:pPr>
            <w:r w:rsidRPr="00C7642C">
              <w:rPr>
                <w:rFonts w:ascii="Times New Roman" w:hAnsi="Times New Roman"/>
                <w:sz w:val="24"/>
                <w:szCs w:val="24"/>
              </w:rPr>
              <w:lastRenderedPageBreak/>
              <w:t>-ˮ-</w:t>
            </w:r>
          </w:p>
        </w:tc>
        <w:tc>
          <w:tcPr>
            <w:tcW w:w="320"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CC99" w:fill="FFFFFF"/>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val="restart"/>
            <w:shd w:val="clear" w:color="FFFFCC"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13. Забезпечення притягнення кривдника до відповідальності, передбаченої законом</w:t>
            </w:r>
          </w:p>
        </w:tc>
        <w:tc>
          <w:tcPr>
            <w:tcW w:w="1860" w:type="pct"/>
            <w:shd w:val="clear" w:color="FFFFCC"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забезпечення інформування дитини, її батьків, інших законних представників про права дитини, заходи та послуги, якими вони можуть скористатися у кожній територіальній громаді</w:t>
            </w:r>
          </w:p>
        </w:tc>
        <w:tc>
          <w:tcPr>
            <w:tcW w:w="529" w:type="pct"/>
            <w:shd w:val="clear" w:color="FFFFCC"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tc>
        <w:tc>
          <w:tcPr>
            <w:tcW w:w="320"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FFFFCC"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кількість запроваджених інструментів проведення оцінки ризиків вчинення повторного правопорушення для планування соціально-виховної роботи з дітьми та методичні рекомендації для її проведення</w:t>
            </w:r>
          </w:p>
        </w:tc>
        <w:tc>
          <w:tcPr>
            <w:tcW w:w="52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8"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shd w:val="clear" w:color="000000" w:fill="FFFFFF"/>
            <w:noWrap/>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 </w:t>
            </w:r>
          </w:p>
        </w:tc>
        <w:tc>
          <w:tcPr>
            <w:tcW w:w="1860" w:type="pct"/>
            <w:shd w:val="clear" w:color="FFFFCC"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кривдників, які пройшли програми для кривдників</w:t>
            </w:r>
          </w:p>
        </w:tc>
        <w:tc>
          <w:tcPr>
            <w:tcW w:w="52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відсотків</w:t>
            </w:r>
          </w:p>
        </w:tc>
        <w:tc>
          <w:tcPr>
            <w:tcW w:w="320"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15</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20</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25</w:t>
            </w:r>
          </w:p>
        </w:tc>
        <w:tc>
          <w:tcPr>
            <w:tcW w:w="249"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35</w:t>
            </w:r>
          </w:p>
        </w:tc>
        <w:tc>
          <w:tcPr>
            <w:tcW w:w="248" w:type="pct"/>
            <w:shd w:val="clear" w:color="FFFFCC"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40</w:t>
            </w:r>
          </w:p>
        </w:tc>
      </w:tr>
      <w:tr w:rsidR="00A7088A" w:rsidRPr="00C7642C" w:rsidTr="00811001">
        <w:trPr>
          <w:trHeight w:val="20"/>
        </w:trPr>
        <w:tc>
          <w:tcPr>
            <w:tcW w:w="1047" w:type="pct"/>
            <w:vMerge w:val="restart"/>
            <w:shd w:val="clear" w:color="CCFFFF"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r w:rsidRPr="00C7642C">
              <w:rPr>
                <w:rFonts w:ascii="Times New Roman" w:hAnsi="Times New Roman"/>
                <w:sz w:val="24"/>
                <w:szCs w:val="24"/>
                <w:lang w:eastAsia="uk-UA"/>
              </w:rPr>
              <w:t>14. Здійснення заходів щодо зміни моделі поведінки кривдника на соціально прийнятну</w:t>
            </w:r>
          </w:p>
        </w:tc>
        <w:tc>
          <w:tcPr>
            <w:tcW w:w="1860" w:type="pct"/>
            <w:shd w:val="clear" w:color="CCFFFF"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частка кривдників, узятих на профілактичний облік</w:t>
            </w:r>
          </w:p>
        </w:tc>
        <w:tc>
          <w:tcPr>
            <w:tcW w:w="529" w:type="pct"/>
            <w:shd w:val="clear" w:color="CCFFFF"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320"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r w:rsidR="00A7088A" w:rsidRPr="00C7642C" w:rsidTr="00811001">
        <w:trPr>
          <w:trHeight w:val="20"/>
        </w:trPr>
        <w:tc>
          <w:tcPr>
            <w:tcW w:w="1047" w:type="pct"/>
            <w:vMerge/>
            <w:shd w:val="clear" w:color="CCFFFF"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CCFFFF"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кількість розроблених типових програм для дітей-кривдників та методичні рекомендації щодо їх виконання</w:t>
            </w:r>
          </w:p>
        </w:tc>
        <w:tc>
          <w:tcPr>
            <w:tcW w:w="52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одиниць</w:t>
            </w:r>
          </w:p>
        </w:tc>
        <w:tc>
          <w:tcPr>
            <w:tcW w:w="320"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8"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shd w:val="clear" w:color="CCFFFF"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CCFFFF"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кількість розроблених типових програм для постраждалих осіб та методичні рекомендації щодо їх виконання</w:t>
            </w:r>
          </w:p>
        </w:tc>
        <w:tc>
          <w:tcPr>
            <w:tcW w:w="529" w:type="pct"/>
            <w:shd w:val="clear" w:color="CCFFFF" w:fill="FFFFFF"/>
            <w:hideMark/>
          </w:tcPr>
          <w:p w:rsidR="00A7088A" w:rsidRPr="00C7642C" w:rsidRDefault="00A7088A" w:rsidP="00811001">
            <w:pPr>
              <w:widowControl w:val="0"/>
              <w:jc w:val="center"/>
              <w:rPr>
                <w:sz w:val="24"/>
                <w:szCs w:val="24"/>
              </w:rPr>
            </w:pPr>
            <w:r w:rsidRPr="00C7642C">
              <w:rPr>
                <w:rFonts w:ascii="Times New Roman" w:hAnsi="Times New Roman"/>
                <w:sz w:val="24"/>
                <w:szCs w:val="24"/>
              </w:rPr>
              <w:t>-ˮ-</w:t>
            </w:r>
          </w:p>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320"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2</w:t>
            </w: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8"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r>
      <w:tr w:rsidR="00A7088A" w:rsidRPr="00C7642C" w:rsidTr="00811001">
        <w:trPr>
          <w:trHeight w:val="20"/>
        </w:trPr>
        <w:tc>
          <w:tcPr>
            <w:tcW w:w="1047" w:type="pct"/>
            <w:shd w:val="clear" w:color="CCFFFF" w:fill="FFFFFF"/>
            <w:hideMark/>
          </w:tcPr>
          <w:p w:rsidR="00A7088A" w:rsidRPr="00C7642C" w:rsidRDefault="00A7088A" w:rsidP="00811001">
            <w:pPr>
              <w:pStyle w:val="a5"/>
              <w:widowControl w:val="0"/>
              <w:spacing w:line="228" w:lineRule="auto"/>
              <w:ind w:firstLine="0"/>
              <w:rPr>
                <w:rFonts w:ascii="Times New Roman" w:hAnsi="Times New Roman"/>
                <w:sz w:val="24"/>
                <w:szCs w:val="24"/>
                <w:lang w:eastAsia="uk-UA"/>
              </w:rPr>
            </w:pPr>
          </w:p>
        </w:tc>
        <w:tc>
          <w:tcPr>
            <w:tcW w:w="1860" w:type="pct"/>
            <w:shd w:val="clear" w:color="CCFFFF" w:fill="FFFFFF"/>
            <w:hideMark/>
          </w:tcPr>
          <w:p w:rsidR="00A7088A" w:rsidRPr="00C7642C" w:rsidRDefault="00A7088A" w:rsidP="00811001">
            <w:pPr>
              <w:pStyle w:val="a5"/>
              <w:widowControl w:val="0"/>
              <w:spacing w:after="120" w:line="228" w:lineRule="auto"/>
              <w:ind w:firstLine="0"/>
              <w:jc w:val="both"/>
              <w:rPr>
                <w:rFonts w:ascii="Times New Roman" w:hAnsi="Times New Roman"/>
                <w:sz w:val="24"/>
                <w:szCs w:val="24"/>
                <w:lang w:eastAsia="uk-UA"/>
              </w:rPr>
            </w:pPr>
            <w:r w:rsidRPr="00C7642C">
              <w:rPr>
                <w:rFonts w:ascii="Times New Roman" w:hAnsi="Times New Roman"/>
                <w:sz w:val="24"/>
                <w:szCs w:val="24"/>
                <w:lang w:eastAsia="uk-UA"/>
              </w:rPr>
              <w:t xml:space="preserve">частка осіб, які пройшли  </w:t>
            </w:r>
            <w:proofErr w:type="spellStart"/>
            <w:r w:rsidRPr="00C7642C">
              <w:rPr>
                <w:rFonts w:ascii="Times New Roman" w:hAnsi="Times New Roman"/>
                <w:sz w:val="24"/>
                <w:szCs w:val="24"/>
                <w:lang w:eastAsia="uk-UA"/>
              </w:rPr>
              <w:t>пробаційні</w:t>
            </w:r>
            <w:proofErr w:type="spellEnd"/>
            <w:r w:rsidRPr="00C7642C">
              <w:rPr>
                <w:rFonts w:ascii="Times New Roman" w:hAnsi="Times New Roman"/>
                <w:sz w:val="24"/>
                <w:szCs w:val="24"/>
                <w:lang w:eastAsia="uk-UA"/>
              </w:rPr>
              <w:t xml:space="preserve"> програми, з розподілом за статтю відносно кількості осіб, які вчинили злочини, пов’язані із домашнім насильством та насильством за ознакою статі</w:t>
            </w:r>
          </w:p>
        </w:tc>
        <w:tc>
          <w:tcPr>
            <w:tcW w:w="52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відсотків</w:t>
            </w:r>
          </w:p>
        </w:tc>
        <w:tc>
          <w:tcPr>
            <w:tcW w:w="320"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9"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c>
          <w:tcPr>
            <w:tcW w:w="248" w:type="pct"/>
            <w:shd w:val="clear" w:color="CCFFFF" w:fill="FFFFFF"/>
            <w:hideMark/>
          </w:tcPr>
          <w:p w:rsidR="00A7088A" w:rsidRPr="00C7642C" w:rsidRDefault="00A7088A" w:rsidP="00811001">
            <w:pPr>
              <w:pStyle w:val="a5"/>
              <w:widowControl w:val="0"/>
              <w:spacing w:line="228" w:lineRule="auto"/>
              <w:ind w:firstLine="0"/>
              <w:jc w:val="center"/>
              <w:rPr>
                <w:rFonts w:ascii="Times New Roman" w:hAnsi="Times New Roman"/>
                <w:sz w:val="24"/>
                <w:szCs w:val="24"/>
                <w:lang w:eastAsia="uk-UA"/>
              </w:rPr>
            </w:pPr>
            <w:r w:rsidRPr="00C7642C">
              <w:rPr>
                <w:rFonts w:ascii="Times New Roman" w:hAnsi="Times New Roman"/>
                <w:sz w:val="24"/>
                <w:szCs w:val="24"/>
                <w:lang w:eastAsia="uk-UA"/>
              </w:rPr>
              <w:t>100</w:t>
            </w:r>
          </w:p>
        </w:tc>
      </w:tr>
    </w:tbl>
    <w:p w:rsidR="005F0E93" w:rsidRDefault="005F0E93"/>
    <w:sectPr w:rsidR="005F0E93" w:rsidSect="00A7088A">
      <w:pgSz w:w="16838" w:h="11906" w:orient="landscape"/>
      <w:pgMar w:top="568"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8A"/>
    <w:rsid w:val="003E72AC"/>
    <w:rsid w:val="005F0E93"/>
    <w:rsid w:val="00A7088A"/>
    <w:rsid w:val="00C22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8689"/>
  <w15:chartTrackingRefBased/>
  <w15:docId w15:val="{26B1545B-5D1C-4D1D-8774-9AC5C03B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 документу"/>
    <w:basedOn w:val="a"/>
    <w:rsid w:val="00A7088A"/>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4">
    <w:name w:val="Назва документа"/>
    <w:basedOn w:val="a"/>
    <w:next w:val="a"/>
    <w:rsid w:val="00A7088A"/>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5">
    <w:name w:val="Нормальний текст"/>
    <w:basedOn w:val="a"/>
    <w:rsid w:val="00A7088A"/>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8622</Words>
  <Characters>4915</Characters>
  <Application>Microsoft Office Word</Application>
  <DocSecurity>0</DocSecurity>
  <Lines>40</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Вишнівська Тетяна Іванівна</cp:lastModifiedBy>
  <cp:revision>3</cp:revision>
  <dcterms:created xsi:type="dcterms:W3CDTF">2021-03-04T09:02:00Z</dcterms:created>
  <dcterms:modified xsi:type="dcterms:W3CDTF">2021-03-04T09:08:00Z</dcterms:modified>
</cp:coreProperties>
</file>