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3D" w:rsidRPr="00CE39BC" w:rsidRDefault="00F6223D" w:rsidP="0056644E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15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платників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8.3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VIII)</w:t>
      </w:r>
    </w:p>
    <w:p w:rsidR="00F6223D" w:rsidRPr="00CE39BC" w:rsidRDefault="00F6223D" w:rsidP="0056644E">
      <w:pPr>
        <w:shd w:val="clear" w:color="auto" w:fill="FFFFFF"/>
        <w:spacing w:before="227"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4-РОН</w:t>
      </w:r>
    </w:p>
    <w:p w:rsidR="00F6223D" w:rsidRPr="00CE39BC" w:rsidRDefault="00F6223D" w:rsidP="0056644E">
      <w:pPr>
        <w:shd w:val="clear" w:color="auto" w:fill="FFFFFF"/>
        <w:spacing w:before="12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Annex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15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Regulations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payers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(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clause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8.3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Section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VIII)</w:t>
      </w:r>
    </w:p>
    <w:p w:rsidR="00F6223D" w:rsidRPr="00CE39BC" w:rsidRDefault="00F6223D" w:rsidP="0056644E">
      <w:pPr>
        <w:shd w:val="clear" w:color="auto" w:fill="FFFFFF"/>
        <w:spacing w:before="170"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Form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4-RON</w:t>
      </w:r>
    </w:p>
    <w:p w:rsidR="00F6223D" w:rsidRPr="00CE39BC" w:rsidRDefault="00F6223D" w:rsidP="0056644E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відмову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анулюванні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податку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вартістьза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особи-нерезидента</w:t>
      </w:r>
    </w:p>
    <w:p w:rsidR="00F6223D" w:rsidRPr="00CE39BC" w:rsidRDefault="00F6223D" w:rsidP="0056644E">
      <w:pPr>
        <w:shd w:val="clear" w:color="auto" w:fill="FFFFFF"/>
        <w:spacing w:before="283" w:after="17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DECISION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refusal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cancelation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non-resident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VAT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payer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request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non-resident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1"/>
        <w:gridCol w:w="4194"/>
      </w:tblGrid>
      <w:tr w:rsidR="00F6223D" w:rsidRPr="00CE39BC" w:rsidTr="0056644E">
        <w:trPr>
          <w:trHeight w:val="283"/>
        </w:trPr>
        <w:tc>
          <w:tcPr>
            <w:tcW w:w="294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Ідентифікаційний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(реєстраційний,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обліковий)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(код)</w:t>
            </w:r>
          </w:p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нерезидента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країні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реєстрації/</w:t>
            </w:r>
          </w:p>
        </w:tc>
        <w:tc>
          <w:tcPr>
            <w:tcW w:w="2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223D" w:rsidRPr="00CE39BC" w:rsidRDefault="00F6223D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6223D" w:rsidRPr="00CE39BC" w:rsidTr="0056644E">
        <w:trPr>
          <w:trHeight w:val="283"/>
        </w:trPr>
        <w:tc>
          <w:tcPr>
            <w:tcW w:w="2943" w:type="pct"/>
            <w:tcMar>
              <w:top w:w="57" w:type="dxa"/>
              <w:left w:w="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non-resident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identification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</w:t>
            </w: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registration</w:t>
            </w:r>
            <w:proofErr w:type="spellEnd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business</w:t>
            </w:r>
            <w:proofErr w:type="spellEnd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)</w:t>
            </w:r>
          </w:p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number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code</w:t>
            </w:r>
            <w:proofErr w:type="spellEnd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country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jurisdiction</w:t>
            </w:r>
            <w:proofErr w:type="spellEnd"/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F6223D" w:rsidRPr="0056644E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56644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</w:p>
    <w:p w:rsidR="00F6223D" w:rsidRPr="0056644E" w:rsidRDefault="00F6223D" w:rsidP="00D47620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(повне найменування особи-нерезидента/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full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non-resident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name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F6223D" w:rsidRPr="0056644E" w:rsidRDefault="00F6223D" w:rsidP="00D47620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(адресні дані: країна, повна адреса/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address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: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country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full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address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F6223D" w:rsidRPr="00CE39BC" w:rsidRDefault="00F6223D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адреса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пошти/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Email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F6223D" w:rsidRPr="00CE39BC" w:rsidRDefault="00F6223D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зареєстрованої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статті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кодексу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України,/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registered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taxpayer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accordance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clause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Article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Section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Code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Ukraine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6"/>
        <w:gridCol w:w="4109"/>
      </w:tblGrid>
      <w:tr w:rsidR="00F6223D" w:rsidRPr="00CE39BC" w:rsidTr="0056644E">
        <w:trPr>
          <w:trHeight w:val="283"/>
        </w:trPr>
        <w:tc>
          <w:tcPr>
            <w:tcW w:w="298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особи-нерезидента,</w:t>
            </w:r>
          </w:p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зареєстрованої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України/</w:t>
            </w:r>
          </w:p>
        </w:tc>
        <w:tc>
          <w:tcPr>
            <w:tcW w:w="2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223D" w:rsidRPr="00CE39BC" w:rsidRDefault="00F6223D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6223D" w:rsidRPr="00CE39BC" w:rsidTr="0056644E">
        <w:trPr>
          <w:trHeight w:val="283"/>
        </w:trPr>
        <w:tc>
          <w:tcPr>
            <w:tcW w:w="2985" w:type="pct"/>
            <w:tcMar>
              <w:top w:w="57" w:type="dxa"/>
              <w:left w:w="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individual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tax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number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non-resident</w:t>
            </w:r>
            <w:proofErr w:type="spellEnd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registered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taxpayer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Ukraine</w:t>
            </w:r>
            <w:proofErr w:type="spellEnd"/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F6223D" w:rsidRPr="0056644E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56644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вартість:/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taxpayer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F6223D" w:rsidRPr="00CE39BC" w:rsidRDefault="00F6223D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Складено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комісією,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створеною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розпорядження/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Drawn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commission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established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accordance</w:t>
      </w:r>
      <w:proofErr w:type="spellEnd"/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Order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______.</w:t>
      </w:r>
    </w:p>
    <w:p w:rsidR="00F6223D" w:rsidRPr="0056644E" w:rsidRDefault="00F6223D" w:rsidP="00235345">
      <w:pPr>
        <w:shd w:val="clear" w:color="auto" w:fill="FFFFFF"/>
        <w:spacing w:before="17" w:after="0" w:line="150" w:lineRule="atLeast"/>
        <w:ind w:right="349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контролюючого органу/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name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controlling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body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F6223D" w:rsidRPr="00CE39BC" w:rsidRDefault="00F6223D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Комісією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встановлено:/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Commission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found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that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особою-нерезидентом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заяву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(форма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2-РОН)./____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submitted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application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cancellation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form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2-RОN).</w:t>
      </w:r>
    </w:p>
    <w:p w:rsidR="00F6223D" w:rsidRDefault="00F6223D" w:rsidP="00D47620">
      <w:pPr>
        <w:shd w:val="clear" w:color="auto" w:fill="FFFFFF"/>
        <w:spacing w:after="0" w:line="193" w:lineRule="atLeast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Зазначена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заяві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особою-нерезидентом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фізичним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особам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електронних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митній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території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України,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результатами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попереднього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календарного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сукупно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становить/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application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indicated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total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amount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from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supply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electronic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services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individual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place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supply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located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customs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territory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Ukraine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based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financial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results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previous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calendar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year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equal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</w:t>
      </w:r>
      <w:proofErr w:type="spellEnd"/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гривень*./UAH*.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даними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контролюючого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органу,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особою-нерезидентом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фізичним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особам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електронних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розташоване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митній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території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України,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результатами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попереднього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календарного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сукупно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перевищує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суму,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еквівалентну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гривень,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підтверджується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відповідною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довідкою,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становить/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According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information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available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controlling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authority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total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amount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from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supply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electronic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services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individual</w:t>
      </w:r>
      <w:proofErr w:type="spellEnd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place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supply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located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customs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territory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Ukraine</w:t>
      </w:r>
      <w:proofErr w:type="spellEnd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based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financial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results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previous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calendar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year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exceed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equivalent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UAH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1,000,000,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which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confirmed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by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relevant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certificate</w:t>
      </w:r>
      <w:proofErr w:type="spellEnd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and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equal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  <w:proofErr w:type="spellEnd"/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гривень*/UAH*.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складання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боргу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невиконаних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зобов’язань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становить/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amount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debt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amount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unfulfilled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liabilities</w:t>
      </w:r>
      <w:proofErr w:type="spellEnd"/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**.</w:t>
      </w:r>
    </w:p>
    <w:p w:rsidR="00F6223D" w:rsidRPr="00CE39BC" w:rsidRDefault="00F6223D" w:rsidP="00D4762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Висновок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комісії:/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Commission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Реєстрація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особи-нерезидента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податку,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реквізити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вказано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вище,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підлягає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анулюванню,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оскільки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результатами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попереднього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календарного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особою-нерезидентом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фізичним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особам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електронних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розташоване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митній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території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України,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сукупно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перевищує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суму,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еквівалентну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гривень*/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payer</w:t>
      </w:r>
      <w:proofErr w:type="spellEnd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information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about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which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are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given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above</w:t>
      </w:r>
      <w:proofErr w:type="spellEnd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cannot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cancelled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because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accordance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results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previous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calendar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year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total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amount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from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supply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electronic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services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individual</w:t>
      </w:r>
      <w:proofErr w:type="spellEnd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place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supply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located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customs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territory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Ukraine</w:t>
      </w:r>
      <w:proofErr w:type="spellEnd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based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financial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results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previous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calendar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year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exceed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equivalent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UAH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1,000,000*.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прийняття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відмову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підписання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керівником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(заступником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керівника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особою)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контролюючого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органу./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signing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Head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deputy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head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authorized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person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controlling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body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складається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одному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примірнику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зберігається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разом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документами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копіями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документів,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стали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підставою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відмови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анулюванні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реєстрації,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контролюючому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органі,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прийняв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таке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рішення./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drawn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up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one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copy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and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should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kept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together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documents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or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copies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documents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that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became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basis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refusal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cancelation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controlling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body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that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made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such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decision</w:t>
      </w:r>
      <w:proofErr w:type="spellEnd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надіслано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нерезиденту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електронній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формі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через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спеціальне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портальне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користувачів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-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нерезидентів,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надають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електронні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послуги,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одночасним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повідомленням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адресу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пошти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нерезидента./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must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send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electronic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form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through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special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portal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solution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for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users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who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provide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electronic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services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simultaneous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notification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email-address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non-resident</w:t>
      </w:r>
      <w:proofErr w:type="spellEnd"/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8"/>
        <w:gridCol w:w="6537"/>
      </w:tblGrid>
      <w:tr w:rsidR="00F6223D" w:rsidRPr="00CE39BC" w:rsidTr="0056644E">
        <w:trPr>
          <w:trHeight w:val="60"/>
        </w:trPr>
        <w:tc>
          <w:tcPr>
            <w:tcW w:w="1797" w:type="pct"/>
            <w:tcMar>
              <w:top w:w="68" w:type="dxa"/>
              <w:left w:w="0" w:type="dxa"/>
              <w:bottom w:w="68" w:type="dxa"/>
              <w:right w:w="170" w:type="dxa"/>
            </w:tcMar>
          </w:tcPr>
          <w:p w:rsidR="00F6223D" w:rsidRPr="00CE39BC" w:rsidRDefault="00F6223D" w:rsidP="00D4762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</w:t>
            </w:r>
          </w:p>
          <w:p w:rsidR="00F6223D" w:rsidRPr="0056644E" w:rsidRDefault="00F6223D" w:rsidP="00D4762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(посада/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position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)</w:t>
            </w:r>
          </w:p>
        </w:tc>
        <w:tc>
          <w:tcPr>
            <w:tcW w:w="3203" w:type="pct"/>
            <w:tcMar>
              <w:top w:w="68" w:type="dxa"/>
              <w:left w:w="17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F6223D" w:rsidRPr="0056644E" w:rsidRDefault="00F6223D" w:rsidP="00D4762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 та прізвище керівника (заступника керівника</w:t>
            </w:r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або уповноваженої особи) контролюючого органу/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Head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deputy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head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or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person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controlling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body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)</w:t>
            </w:r>
          </w:p>
        </w:tc>
      </w:tr>
    </w:tbl>
    <w:p w:rsidR="00F6223D" w:rsidRPr="0056644E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56644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F6223D" w:rsidRPr="0056644E" w:rsidRDefault="00F6223D" w:rsidP="0056644E">
      <w:pPr>
        <w:shd w:val="clear" w:color="auto" w:fill="FFFFFF"/>
        <w:spacing w:before="12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*  Обчислюється за офіційним курсом валюти України до іноземної валюти, встановленим Національним банком України, що діє на 00:00 01 січня відповідного року./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Is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calculated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at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official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exchange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rate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Ukraine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to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foreign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currency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effective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at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0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o’clock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on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January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1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year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.</w:t>
      </w:r>
    </w:p>
    <w:p w:rsidR="00F6223D" w:rsidRDefault="00F6223D" w:rsidP="00D47620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** Суму вказано в іноземній валюті (євро або долар США), обраній особою-нерезидентом для сплати податку згідно із заявою про реєстрацію як платника податку на додану вартість особи-нерезидента./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amount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indicated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in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foreign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currency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(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Euro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or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US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dollar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),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chosen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by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non-resident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to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pay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tax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in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accordance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with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Application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on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registration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a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non-resident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as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a VAT </w:t>
      </w:r>
      <w:proofErr w:type="spellStart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payer</w:t>
      </w:r>
      <w:proofErr w:type="spellEnd"/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.</w:t>
      </w:r>
    </w:p>
    <w:p w:rsidR="0049623A" w:rsidRDefault="0049623A" w:rsidP="00D47620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49623A" w:rsidRPr="0049623A" w:rsidRDefault="0049623A" w:rsidP="0049623A">
      <w:pPr>
        <w:shd w:val="clear" w:color="auto" w:fill="FFFFFF"/>
        <w:spacing w:before="60" w:after="0" w:line="161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49623A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lastRenderedPageBreak/>
        <w:t xml:space="preserve">{Положення доповнено новим Додатком 15 згідно з Наказом Міністерства фінансів </w:t>
      </w:r>
      <w:r w:rsidRPr="0049623A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637 від 07.12.2021</w:t>
      </w:r>
      <w:r w:rsidRPr="0049623A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49623A" w:rsidRPr="0049623A" w:rsidSect="005664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83683"/>
    <w:multiLevelType w:val="multilevel"/>
    <w:tmpl w:val="1AB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8560B"/>
    <w:multiLevelType w:val="multilevel"/>
    <w:tmpl w:val="6BC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E6CD0"/>
    <w:multiLevelType w:val="multilevel"/>
    <w:tmpl w:val="903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20"/>
    <w:rsid w:val="00235345"/>
    <w:rsid w:val="0028028F"/>
    <w:rsid w:val="00330E40"/>
    <w:rsid w:val="0049623A"/>
    <w:rsid w:val="00561825"/>
    <w:rsid w:val="0056644E"/>
    <w:rsid w:val="006F0C9A"/>
    <w:rsid w:val="00936DF0"/>
    <w:rsid w:val="009C7214"/>
    <w:rsid w:val="00B57B3D"/>
    <w:rsid w:val="00C06E1F"/>
    <w:rsid w:val="00CE39BC"/>
    <w:rsid w:val="00D47620"/>
    <w:rsid w:val="00DA1E80"/>
    <w:rsid w:val="00F6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16CD2"/>
  <w15:docId w15:val="{DE31D722-7570-44F8-97E1-3A19532F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80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D476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47620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D4762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D47620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D47620"/>
    <w:rPr>
      <w:rFonts w:cs="Times New Roman"/>
    </w:rPr>
  </w:style>
  <w:style w:type="paragraph" w:customStyle="1" w:styleId="ch6f">
    <w:name w:val="ch6f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uiPriority w:val="99"/>
    <w:qFormat/>
    <w:rsid w:val="00D47620"/>
    <w:rPr>
      <w:rFonts w:cs="Times New Roman"/>
      <w:i/>
      <w:iCs/>
    </w:rPr>
  </w:style>
  <w:style w:type="paragraph" w:customStyle="1" w:styleId="tableshapkatabl">
    <w:name w:val="tableshapkatabl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uiPriority w:val="99"/>
    <w:rsid w:val="00D4762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476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D47620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476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D47620"/>
    <w:rPr>
      <w:rFonts w:ascii="Arial" w:hAnsi="Arial" w:cs="Arial"/>
      <w:vanish/>
      <w:sz w:val="16"/>
      <w:szCs w:val="16"/>
      <w:lang w:eastAsia="uk-UA"/>
    </w:rPr>
  </w:style>
  <w:style w:type="character" w:customStyle="1" w:styleId="st131">
    <w:name w:val="st131"/>
    <w:uiPriority w:val="99"/>
    <w:rsid w:val="0049623A"/>
    <w:rPr>
      <w:i/>
      <w:iCs/>
      <w:color w:val="0000FF"/>
    </w:rPr>
  </w:style>
  <w:style w:type="character" w:customStyle="1" w:styleId="st46">
    <w:name w:val="st46"/>
    <w:uiPriority w:val="99"/>
    <w:rsid w:val="0049623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0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6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0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4529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2022-12-15T18:38:00Z</dcterms:created>
  <dcterms:modified xsi:type="dcterms:W3CDTF">2022-12-15T18:39:00Z</dcterms:modified>
</cp:coreProperties>
</file>